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3" w:rsidRDefault="001F77E3" w:rsidP="001F77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Логинова А.С., </w:t>
      </w:r>
      <w:proofErr w:type="spellStart"/>
      <w:r w:rsidR="00380EF9">
        <w:rPr>
          <w:b/>
          <w:sz w:val="28"/>
          <w:szCs w:val="28"/>
        </w:rPr>
        <w:t>к.ю.н</w:t>
      </w:r>
      <w:proofErr w:type="spellEnd"/>
      <w:r w:rsidR="00380EF9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 xml:space="preserve">доцент </w:t>
      </w:r>
    </w:p>
    <w:p w:rsidR="001F77E3" w:rsidRDefault="001F77E3" w:rsidP="001F77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кафедры конституционного и административного права</w:t>
      </w:r>
    </w:p>
    <w:p w:rsidR="001F77E3" w:rsidRDefault="001F77E3" w:rsidP="001F77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НИУ Высшая школа </w:t>
      </w:r>
      <w:proofErr w:type="gramStart"/>
      <w:r>
        <w:rPr>
          <w:b/>
          <w:sz w:val="28"/>
          <w:szCs w:val="28"/>
        </w:rPr>
        <w:t>экономики-Нижний</w:t>
      </w:r>
      <w:proofErr w:type="gramEnd"/>
      <w:r>
        <w:rPr>
          <w:b/>
          <w:sz w:val="28"/>
          <w:szCs w:val="28"/>
        </w:rPr>
        <w:t xml:space="preserve"> Новгород</w:t>
      </w:r>
    </w:p>
    <w:p w:rsidR="001F77E3" w:rsidRDefault="00380EF9" w:rsidP="001F77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Т.: +7 </w:t>
      </w:r>
      <w:r w:rsidR="001F77E3">
        <w:rPr>
          <w:b/>
          <w:sz w:val="28"/>
          <w:szCs w:val="28"/>
        </w:rPr>
        <w:t>920</w:t>
      </w:r>
      <w:r>
        <w:rPr>
          <w:b/>
          <w:sz w:val="28"/>
          <w:szCs w:val="28"/>
        </w:rPr>
        <w:t xml:space="preserve"> </w:t>
      </w:r>
      <w:r w:rsidR="001F77E3">
        <w:rPr>
          <w:b/>
          <w:sz w:val="28"/>
          <w:szCs w:val="28"/>
        </w:rPr>
        <w:t>00</w:t>
      </w:r>
      <w:r w:rsidR="005055BD">
        <w:rPr>
          <w:b/>
          <w:sz w:val="28"/>
          <w:szCs w:val="28"/>
        </w:rPr>
        <w:t xml:space="preserve"> </w:t>
      </w:r>
      <w:r w:rsidR="001F77E3">
        <w:rPr>
          <w:b/>
          <w:sz w:val="28"/>
          <w:szCs w:val="28"/>
        </w:rPr>
        <w:t>30</w:t>
      </w:r>
      <w:r w:rsidR="005055BD">
        <w:rPr>
          <w:b/>
          <w:sz w:val="28"/>
          <w:szCs w:val="28"/>
        </w:rPr>
        <w:t> </w:t>
      </w:r>
      <w:r w:rsidR="001F77E3">
        <w:rPr>
          <w:b/>
          <w:sz w:val="28"/>
          <w:szCs w:val="28"/>
        </w:rPr>
        <w:t>822</w:t>
      </w:r>
    </w:p>
    <w:p w:rsidR="005055BD" w:rsidRDefault="005055BD" w:rsidP="001F77E3">
      <w:pPr>
        <w:jc w:val="center"/>
        <w:rPr>
          <w:b/>
          <w:sz w:val="28"/>
          <w:szCs w:val="28"/>
        </w:rPr>
      </w:pPr>
    </w:p>
    <w:p w:rsidR="005055BD" w:rsidRDefault="001F77E3" w:rsidP="001F77E3">
      <w:pPr>
        <w:jc w:val="center"/>
        <w:rPr>
          <w:b/>
          <w:sz w:val="28"/>
          <w:szCs w:val="28"/>
        </w:rPr>
      </w:pPr>
      <w:r w:rsidRPr="001F77E3">
        <w:rPr>
          <w:b/>
          <w:sz w:val="28"/>
          <w:szCs w:val="28"/>
        </w:rPr>
        <w:t xml:space="preserve">Вступление России в ВТО: </w:t>
      </w:r>
    </w:p>
    <w:p w:rsidR="001F77E3" w:rsidRDefault="001F77E3" w:rsidP="001F77E3">
      <w:pPr>
        <w:jc w:val="center"/>
        <w:rPr>
          <w:b/>
          <w:sz w:val="28"/>
          <w:szCs w:val="28"/>
        </w:rPr>
      </w:pPr>
      <w:r w:rsidRPr="001F77E3">
        <w:rPr>
          <w:b/>
          <w:sz w:val="28"/>
          <w:szCs w:val="28"/>
        </w:rPr>
        <w:t>экономико-правовые последствия для регионов</w:t>
      </w:r>
    </w:p>
    <w:p w:rsidR="001F77E3" w:rsidRDefault="001F77E3" w:rsidP="001F77E3">
      <w:pPr>
        <w:jc w:val="center"/>
        <w:rPr>
          <w:b/>
          <w:sz w:val="28"/>
          <w:szCs w:val="28"/>
        </w:rPr>
      </w:pPr>
    </w:p>
    <w:p w:rsidR="00497837" w:rsidRDefault="00497837" w:rsidP="001F77E3">
      <w:pPr>
        <w:spacing w:line="360" w:lineRule="auto"/>
        <w:ind w:firstLine="709"/>
        <w:jc w:val="both"/>
        <w:rPr>
          <w:sz w:val="28"/>
          <w:szCs w:val="28"/>
        </w:rPr>
      </w:pPr>
    </w:p>
    <w:p w:rsidR="00497837" w:rsidRPr="00497837" w:rsidRDefault="00497837" w:rsidP="00497837">
      <w:pPr>
        <w:spacing w:line="360" w:lineRule="auto"/>
        <w:ind w:firstLine="709"/>
        <w:jc w:val="both"/>
        <w:rPr>
          <w:sz w:val="28"/>
          <w:szCs w:val="28"/>
        </w:rPr>
      </w:pPr>
      <w:r w:rsidRPr="00497837">
        <w:rPr>
          <w:sz w:val="28"/>
          <w:szCs w:val="28"/>
        </w:rPr>
        <w:t>Территориальное развитие России крайне неоднородно</w:t>
      </w:r>
      <w:r w:rsidR="005055BD">
        <w:rPr>
          <w:sz w:val="28"/>
          <w:szCs w:val="28"/>
        </w:rPr>
        <w:t>,</w:t>
      </w:r>
      <w:r w:rsidRPr="00497837">
        <w:rPr>
          <w:sz w:val="28"/>
          <w:szCs w:val="28"/>
        </w:rPr>
        <w:t xml:space="preserve"> и членство России в ВТО отразится на регионах РФ весьма по-разному в силу раз</w:t>
      </w:r>
      <w:r w:rsidR="005055BD">
        <w:rPr>
          <w:sz w:val="28"/>
          <w:szCs w:val="28"/>
        </w:rPr>
        <w:t>личного</w:t>
      </w:r>
      <w:r w:rsidRPr="00497837">
        <w:rPr>
          <w:sz w:val="28"/>
          <w:szCs w:val="28"/>
        </w:rPr>
        <w:t xml:space="preserve"> территориального развития субъектов Российской Федерации. В России постепенно усиливается социально-экономическая межрегиональная дифференциация. На уровне регионов существует разница в ценах на группы товаров, в размере заработной платы, уровне безработицы, где-то дефиците, а где-то профиците рабочей силы. Государству, в лице его уполномоченных органов необходимо произвести качественную оценку готовности к вступлению в ВТО каждого региона.</w:t>
      </w:r>
    </w:p>
    <w:p w:rsidR="00497837" w:rsidRDefault="00497837" w:rsidP="00497837">
      <w:pPr>
        <w:spacing w:line="360" w:lineRule="auto"/>
        <w:ind w:firstLine="709"/>
        <w:jc w:val="both"/>
        <w:rPr>
          <w:sz w:val="28"/>
          <w:szCs w:val="28"/>
        </w:rPr>
      </w:pPr>
      <w:r w:rsidRPr="00497837">
        <w:rPr>
          <w:sz w:val="28"/>
          <w:szCs w:val="28"/>
        </w:rPr>
        <w:t>Все регионы России отличаются обеспеченностью природно-сырьевых ресурсов, географией расположения, трудовыми ресурсами и развитием транспортной инфраструктуры. Специфика России заключается в том, что попадающие в группу риска отрасли, локализованы в небольшом числе регионов, где они являются важнейшими отраслями специализации. Особенно велик уровень локализации автомобильной промышленности, так как свыше 80% всех российских автомобилей производится в двух субъектах РФ (Нижний Новгород и Самара). В текстильной промышленности на долю трех субъектов приходится более 65% производства тканей. Даже в такой территориально неконцентрированной отрасли, как животноводство, на 10 субъектов РФ приходится более трети производства мяса в стране. В итоге, помимо различных отраслевых эффектов, последствия вступления в ВТО будут  носить и региональный характер.</w:t>
      </w:r>
    </w:p>
    <w:p w:rsidR="00497837" w:rsidRPr="00497837" w:rsidRDefault="00497837" w:rsidP="00497837">
      <w:pPr>
        <w:spacing w:after="160" w:line="360" w:lineRule="auto"/>
        <w:ind w:firstLine="709"/>
        <w:jc w:val="both"/>
        <w:rPr>
          <w:sz w:val="28"/>
          <w:szCs w:val="28"/>
          <w:lang w:eastAsia="en-US"/>
        </w:rPr>
      </w:pPr>
      <w:r w:rsidRPr="00497837">
        <w:rPr>
          <w:sz w:val="28"/>
          <w:szCs w:val="28"/>
          <w:lang w:eastAsia="en-US"/>
        </w:rPr>
        <w:lastRenderedPageBreak/>
        <w:t>Если обращаться к материалам статистки вн</w:t>
      </w:r>
      <w:r>
        <w:rPr>
          <w:sz w:val="28"/>
          <w:szCs w:val="28"/>
          <w:lang w:eastAsia="en-US"/>
        </w:rPr>
        <w:t>ешнеэкономической деятельность</w:t>
      </w:r>
      <w:r w:rsidRPr="00497837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то видно, то </w:t>
      </w:r>
      <w:r w:rsidRPr="00497837">
        <w:rPr>
          <w:sz w:val="28"/>
          <w:szCs w:val="28"/>
          <w:lang w:eastAsia="en-US"/>
        </w:rPr>
        <w:t>регионы РФ неравномерно вовлечены во внешнеторговую деятельность и объемы товарооборота весьма различны.</w:t>
      </w:r>
    </w:p>
    <w:p w:rsidR="00497837" w:rsidRPr="00497837" w:rsidRDefault="00497837" w:rsidP="00497837">
      <w:pPr>
        <w:spacing w:after="160" w:line="259" w:lineRule="auto"/>
        <w:ind w:firstLine="709"/>
        <w:jc w:val="center"/>
        <w:rPr>
          <w:b/>
          <w:lang w:eastAsia="en-US"/>
        </w:rPr>
      </w:pPr>
      <w:r w:rsidRPr="00497837">
        <w:rPr>
          <w:b/>
          <w:lang w:eastAsia="en-US"/>
        </w:rPr>
        <w:t>Динамика внешнеторгового оборота по субъектам Российской Федерации за 2010 – 2013 гг.</w:t>
      </w:r>
      <w:r w:rsidRPr="00497837">
        <w:rPr>
          <w:b/>
          <w:vertAlign w:val="superscript"/>
          <w:lang w:eastAsia="en-US"/>
        </w:rPr>
        <w:t xml:space="preserve"> </w:t>
      </w:r>
      <w:r w:rsidRPr="00497837">
        <w:rPr>
          <w:b/>
          <w:vertAlign w:val="superscript"/>
          <w:lang w:eastAsia="en-US"/>
        </w:rPr>
        <w:footnoteReference w:id="1"/>
      </w:r>
    </w:p>
    <w:p w:rsidR="00497837" w:rsidRPr="00497837" w:rsidRDefault="00497837" w:rsidP="00497837">
      <w:pPr>
        <w:spacing w:after="160" w:line="259" w:lineRule="auto"/>
        <w:ind w:firstLine="709"/>
        <w:jc w:val="right"/>
        <w:rPr>
          <w:rFonts w:ascii="Arial" w:hAnsi="Arial" w:cs="Arial"/>
          <w:b/>
          <w:lang w:eastAsia="en-US"/>
        </w:rPr>
      </w:pPr>
      <w:r w:rsidRPr="00497837">
        <w:rPr>
          <w:rFonts w:ascii="Arial" w:hAnsi="Arial" w:cs="Arial"/>
          <w:b/>
          <w:lang w:eastAsia="en-US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1827"/>
        <w:gridCol w:w="1828"/>
        <w:gridCol w:w="1828"/>
        <w:gridCol w:w="1829"/>
      </w:tblGrid>
      <w:tr w:rsidR="00497837" w:rsidRPr="00497837" w:rsidTr="00A4506B">
        <w:tc>
          <w:tcPr>
            <w:tcW w:w="1914" w:type="dxa"/>
          </w:tcPr>
          <w:p w:rsidR="00497837" w:rsidRPr="00497837" w:rsidRDefault="00497837" w:rsidP="0049783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97837">
              <w:rPr>
                <w:rFonts w:ascii="Arial" w:hAnsi="Arial" w:cs="Arial"/>
                <w:b/>
                <w:lang w:eastAsia="en-US"/>
              </w:rPr>
              <w:t>Федеральный округ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97837">
              <w:rPr>
                <w:rFonts w:ascii="Arial" w:hAnsi="Arial" w:cs="Arial"/>
                <w:b/>
                <w:lang w:eastAsia="en-US"/>
              </w:rPr>
              <w:t>2010г.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97837">
              <w:rPr>
                <w:rFonts w:ascii="Arial" w:hAnsi="Arial" w:cs="Arial"/>
                <w:b/>
                <w:lang w:eastAsia="en-US"/>
              </w:rPr>
              <w:t>2011г.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97837">
              <w:rPr>
                <w:rFonts w:ascii="Arial" w:hAnsi="Arial" w:cs="Arial"/>
                <w:b/>
                <w:lang w:eastAsia="en-US"/>
              </w:rPr>
              <w:t>2012г.</w:t>
            </w:r>
          </w:p>
        </w:tc>
        <w:tc>
          <w:tcPr>
            <w:tcW w:w="1915" w:type="dxa"/>
          </w:tcPr>
          <w:p w:rsidR="00497837" w:rsidRPr="00497837" w:rsidRDefault="00497837" w:rsidP="0049783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97837">
              <w:rPr>
                <w:rFonts w:ascii="Arial" w:hAnsi="Arial" w:cs="Arial"/>
                <w:b/>
                <w:lang w:eastAsia="en-US"/>
              </w:rPr>
              <w:t>2013г.</w:t>
            </w:r>
          </w:p>
        </w:tc>
      </w:tr>
      <w:tr w:rsidR="00497837" w:rsidRPr="00497837" w:rsidTr="00A4506B">
        <w:tc>
          <w:tcPr>
            <w:tcW w:w="1914" w:type="dxa"/>
          </w:tcPr>
          <w:p w:rsidR="00497837" w:rsidRPr="00497837" w:rsidRDefault="00497837" w:rsidP="00497837">
            <w:pPr>
              <w:jc w:val="center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Центральный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102,0 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384,20 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121,90 млрд. долл.</w:t>
            </w:r>
          </w:p>
        </w:tc>
        <w:tc>
          <w:tcPr>
            <w:tcW w:w="1915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125,60 млрд. долл.</w:t>
            </w:r>
          </w:p>
        </w:tc>
      </w:tr>
      <w:tr w:rsidR="00497837" w:rsidRPr="00497837" w:rsidTr="00A4506B">
        <w:tc>
          <w:tcPr>
            <w:tcW w:w="1914" w:type="dxa"/>
          </w:tcPr>
          <w:p w:rsidR="00497837" w:rsidRPr="00497837" w:rsidRDefault="00497837" w:rsidP="00497837">
            <w:pPr>
              <w:jc w:val="center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Северо-западный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97,75 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100,59 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99,11 млрд. долл.</w:t>
            </w:r>
          </w:p>
        </w:tc>
        <w:tc>
          <w:tcPr>
            <w:tcW w:w="1915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100,92 млрд. долл.</w:t>
            </w:r>
          </w:p>
        </w:tc>
      </w:tr>
      <w:tr w:rsidR="00497837" w:rsidRPr="00497837" w:rsidTr="00A4506B">
        <w:tc>
          <w:tcPr>
            <w:tcW w:w="1914" w:type="dxa"/>
          </w:tcPr>
          <w:p w:rsidR="00497837" w:rsidRPr="00497837" w:rsidRDefault="00497837" w:rsidP="00497837">
            <w:pPr>
              <w:jc w:val="center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 xml:space="preserve">Приволжский 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32,78 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38,56 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34,60 млрд. долл.</w:t>
            </w:r>
          </w:p>
        </w:tc>
        <w:tc>
          <w:tcPr>
            <w:tcW w:w="1915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35,32 млрд. долл.</w:t>
            </w:r>
          </w:p>
        </w:tc>
      </w:tr>
      <w:tr w:rsidR="00497837" w:rsidRPr="00497837" w:rsidTr="00A4506B">
        <w:tc>
          <w:tcPr>
            <w:tcW w:w="1914" w:type="dxa"/>
          </w:tcPr>
          <w:p w:rsidR="00497837" w:rsidRPr="00497837" w:rsidRDefault="00497837" w:rsidP="00497837">
            <w:pPr>
              <w:jc w:val="center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 xml:space="preserve">Дальневосточный 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130,94</w:t>
            </w:r>
            <w:r w:rsidRPr="00497837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497837">
              <w:rPr>
                <w:rFonts w:ascii="Arial" w:hAnsi="Arial" w:cs="Arial"/>
                <w:lang w:eastAsia="en-US"/>
              </w:rPr>
              <w:t>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314,10</w:t>
            </w:r>
            <w:r w:rsidRPr="00497837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497837">
              <w:rPr>
                <w:rFonts w:ascii="Arial" w:hAnsi="Arial" w:cs="Arial"/>
                <w:lang w:eastAsia="en-US"/>
              </w:rPr>
              <w:t>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324,70 млрд. долл.</w:t>
            </w:r>
          </w:p>
        </w:tc>
        <w:tc>
          <w:tcPr>
            <w:tcW w:w="1915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402,15 млрд. долл.</w:t>
            </w:r>
          </w:p>
        </w:tc>
      </w:tr>
      <w:tr w:rsidR="00497837" w:rsidRPr="00497837" w:rsidTr="00A4506B">
        <w:tc>
          <w:tcPr>
            <w:tcW w:w="1914" w:type="dxa"/>
          </w:tcPr>
          <w:p w:rsidR="00497837" w:rsidRPr="00497837" w:rsidRDefault="00497837" w:rsidP="00497837">
            <w:pPr>
              <w:jc w:val="center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 xml:space="preserve">Южный 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29,30</w:t>
            </w:r>
            <w:r w:rsidRPr="00497837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497837">
              <w:rPr>
                <w:rFonts w:ascii="Arial" w:hAnsi="Arial" w:cs="Arial"/>
                <w:lang w:eastAsia="en-US"/>
              </w:rPr>
              <w:t>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34,70</w:t>
            </w:r>
            <w:r w:rsidRPr="00497837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497837">
              <w:rPr>
                <w:rFonts w:ascii="Arial" w:hAnsi="Arial" w:cs="Arial"/>
                <w:lang w:eastAsia="en-US"/>
              </w:rPr>
              <w:t>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35,40</w:t>
            </w:r>
            <w:r w:rsidRPr="00497837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497837">
              <w:rPr>
                <w:rFonts w:ascii="Arial" w:hAnsi="Arial" w:cs="Arial"/>
                <w:lang w:eastAsia="en-US"/>
              </w:rPr>
              <w:t>млрд. долл.</w:t>
            </w:r>
          </w:p>
        </w:tc>
        <w:tc>
          <w:tcPr>
            <w:tcW w:w="1915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32,01</w:t>
            </w:r>
            <w:r w:rsidRPr="00497837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497837">
              <w:rPr>
                <w:rFonts w:ascii="Arial" w:hAnsi="Arial" w:cs="Arial"/>
                <w:lang w:eastAsia="en-US"/>
              </w:rPr>
              <w:t>млрд. долл.</w:t>
            </w:r>
          </w:p>
        </w:tc>
      </w:tr>
      <w:tr w:rsidR="00497837" w:rsidRPr="00497837" w:rsidTr="00A4506B">
        <w:tc>
          <w:tcPr>
            <w:tcW w:w="1914" w:type="dxa"/>
          </w:tcPr>
          <w:p w:rsidR="00497837" w:rsidRPr="00497837" w:rsidRDefault="00497837" w:rsidP="00497837">
            <w:pPr>
              <w:jc w:val="center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Сибирский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39,90 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41,76  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42,90 млрд. долл.</w:t>
            </w:r>
          </w:p>
        </w:tc>
        <w:tc>
          <w:tcPr>
            <w:tcW w:w="1915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42,37 млрд. долл.</w:t>
            </w:r>
          </w:p>
        </w:tc>
      </w:tr>
      <w:tr w:rsidR="00497837" w:rsidRPr="00497837" w:rsidTr="00A4506B">
        <w:tc>
          <w:tcPr>
            <w:tcW w:w="1914" w:type="dxa"/>
          </w:tcPr>
          <w:p w:rsidR="00497837" w:rsidRPr="00497837" w:rsidRDefault="00497837" w:rsidP="00497837">
            <w:pPr>
              <w:jc w:val="center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 xml:space="preserve">Северокавказский 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2,28 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3,225 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23,55 млрд. долл.</w:t>
            </w:r>
          </w:p>
        </w:tc>
        <w:tc>
          <w:tcPr>
            <w:tcW w:w="1915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31,72 млрд. долл.</w:t>
            </w:r>
          </w:p>
        </w:tc>
      </w:tr>
      <w:tr w:rsidR="00497837" w:rsidRPr="00497837" w:rsidTr="00A4506B">
        <w:tc>
          <w:tcPr>
            <w:tcW w:w="1914" w:type="dxa"/>
          </w:tcPr>
          <w:p w:rsidR="00497837" w:rsidRPr="00497837" w:rsidRDefault="00497837" w:rsidP="00497837">
            <w:pPr>
              <w:jc w:val="center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Уральское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12,7 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18,5 млрд. долл.</w:t>
            </w:r>
          </w:p>
        </w:tc>
        <w:tc>
          <w:tcPr>
            <w:tcW w:w="1914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17,4 млрд. долл.</w:t>
            </w:r>
          </w:p>
        </w:tc>
        <w:tc>
          <w:tcPr>
            <w:tcW w:w="1915" w:type="dxa"/>
          </w:tcPr>
          <w:p w:rsidR="00497837" w:rsidRPr="00497837" w:rsidRDefault="00497837" w:rsidP="00497837">
            <w:pPr>
              <w:jc w:val="both"/>
              <w:rPr>
                <w:rFonts w:ascii="Arial" w:hAnsi="Arial" w:cs="Arial"/>
                <w:lang w:eastAsia="en-US"/>
              </w:rPr>
            </w:pPr>
            <w:r w:rsidRPr="00497837">
              <w:rPr>
                <w:rFonts w:ascii="Arial" w:hAnsi="Arial" w:cs="Arial"/>
                <w:lang w:eastAsia="en-US"/>
              </w:rPr>
              <w:t>20 млрд. долл.</w:t>
            </w:r>
          </w:p>
        </w:tc>
      </w:tr>
    </w:tbl>
    <w:p w:rsidR="00497837" w:rsidRDefault="00497837" w:rsidP="00497837">
      <w:pPr>
        <w:spacing w:line="360" w:lineRule="auto"/>
        <w:ind w:firstLine="709"/>
        <w:jc w:val="both"/>
        <w:rPr>
          <w:lang w:eastAsia="en-US"/>
        </w:rPr>
      </w:pPr>
      <w:r w:rsidRPr="00497837">
        <w:rPr>
          <w:lang w:eastAsia="en-US"/>
        </w:rPr>
        <w:t>*Таблица сделана на основе обобщения данных по федеральным округам РФ.</w:t>
      </w:r>
    </w:p>
    <w:p w:rsidR="00497837" w:rsidRPr="00497837" w:rsidRDefault="00497837" w:rsidP="00497837">
      <w:pPr>
        <w:spacing w:line="360" w:lineRule="auto"/>
        <w:ind w:firstLine="709"/>
        <w:jc w:val="both"/>
        <w:rPr>
          <w:lang w:eastAsia="en-US"/>
        </w:rPr>
      </w:pPr>
    </w:p>
    <w:p w:rsidR="00497837" w:rsidRPr="00497837" w:rsidRDefault="00497837" w:rsidP="00497837">
      <w:pPr>
        <w:spacing w:line="360" w:lineRule="auto"/>
        <w:ind w:firstLine="709"/>
        <w:jc w:val="both"/>
        <w:rPr>
          <w:sz w:val="28"/>
          <w:szCs w:val="28"/>
        </w:rPr>
      </w:pPr>
      <w:r w:rsidRPr="00497837">
        <w:rPr>
          <w:sz w:val="28"/>
          <w:szCs w:val="28"/>
        </w:rPr>
        <w:t xml:space="preserve">Аудиторы Счетной палаты считают, что существуют  нерешенные проблемы по адаптации регионов России к условиям членства в ВТО. Только в 32 субъектах  России разработаны программы по адаптации экономики регионов в условиях членства в ВТО: Санкт-Петербург, Амурская, Белгородская, Владимирская, Волгоградская, Воронежская, Вологодская, Калининградская, Калужская, Кировская, Курская, Липецкая, Московская, Мурманская, Нижегородская, Пермская, Самарская, Свердловская, Тамбовская, Томская, Тульская, Тюменская, Челябинской области, Республики Бурятия, Башкортостан, Карелия, Мордовия, Татарстан, Удмуртская Республика, Краснодарский, </w:t>
      </w:r>
      <w:proofErr w:type="spellStart"/>
      <w:r w:rsidRPr="00497837">
        <w:rPr>
          <w:sz w:val="28"/>
          <w:szCs w:val="28"/>
        </w:rPr>
        <w:t>Приморскмй</w:t>
      </w:r>
      <w:proofErr w:type="spellEnd"/>
      <w:r w:rsidRPr="00497837">
        <w:rPr>
          <w:sz w:val="28"/>
          <w:szCs w:val="28"/>
        </w:rPr>
        <w:t>, Ставропольский края</w:t>
      </w:r>
      <w:proofErr w:type="gramStart"/>
      <w:r w:rsidRPr="00497837">
        <w:rPr>
          <w:sz w:val="28"/>
          <w:szCs w:val="28"/>
        </w:rPr>
        <w:t xml:space="preserve"> .</w:t>
      </w:r>
      <w:proofErr w:type="gramEnd"/>
    </w:p>
    <w:p w:rsidR="00497837" w:rsidRPr="00497837" w:rsidRDefault="00497837" w:rsidP="00497837">
      <w:pPr>
        <w:spacing w:line="360" w:lineRule="auto"/>
        <w:ind w:firstLine="709"/>
        <w:jc w:val="both"/>
        <w:rPr>
          <w:sz w:val="28"/>
          <w:szCs w:val="28"/>
        </w:rPr>
      </w:pPr>
      <w:r w:rsidRPr="00497837">
        <w:rPr>
          <w:sz w:val="28"/>
          <w:szCs w:val="28"/>
        </w:rPr>
        <w:lastRenderedPageBreak/>
        <w:t>Активная работа по ранжированию регионального законодательства осуществляется в настоящее время в 18 субъектах РФ: Амурской, Владимирской,  Воронежской, Иркутской, Кировской, Костромской, Курской, Новгородской, Новосибирской, Ростовской, Тульской, Томской,  Тюменской, Челябинской областях, Республиках Дагестан, Татарстан, Тыва, Хакасия, Красноярском крае)</w:t>
      </w:r>
      <w:proofErr w:type="gramStart"/>
      <w:r w:rsidRPr="00497837">
        <w:rPr>
          <w:sz w:val="28"/>
          <w:szCs w:val="28"/>
        </w:rPr>
        <w:t xml:space="preserve"> .</w:t>
      </w:r>
      <w:proofErr w:type="gramEnd"/>
      <w:r w:rsidRPr="00497837">
        <w:rPr>
          <w:sz w:val="28"/>
          <w:szCs w:val="28"/>
        </w:rPr>
        <w:t xml:space="preserve"> </w:t>
      </w:r>
    </w:p>
    <w:p w:rsidR="00497837" w:rsidRDefault="00497837" w:rsidP="00497837">
      <w:pPr>
        <w:spacing w:line="360" w:lineRule="auto"/>
        <w:ind w:firstLine="709"/>
        <w:jc w:val="both"/>
        <w:rPr>
          <w:sz w:val="28"/>
          <w:szCs w:val="28"/>
        </w:rPr>
      </w:pPr>
      <w:r w:rsidRPr="00497837">
        <w:rPr>
          <w:sz w:val="28"/>
          <w:szCs w:val="28"/>
        </w:rPr>
        <w:t>В 15 субъектах России: Амурской, Белгородской, Владимирской,  Воронежской, Иркутской, Кировской, Курской, Свердловской, Тульской, Ярославской областях, Республиках Башкортостан, Бурятия, Карелия, Мордовия, Татарстан, Удмуртской Республике ведется активное обучение специалистов хозяйствующих субъектов, органов местного самоуправления районов и городов; осуществляется подготовка кадров в ВУЗах, проводятся семинары по проблематике ВТО, информирование граждан и предпринимателей по вопросам ВТО</w:t>
      </w:r>
      <w:proofErr w:type="gramStart"/>
      <w:r w:rsidRPr="00497837">
        <w:rPr>
          <w:sz w:val="28"/>
          <w:szCs w:val="28"/>
        </w:rPr>
        <w:t xml:space="preserve"> .</w:t>
      </w:r>
      <w:proofErr w:type="gramEnd"/>
    </w:p>
    <w:p w:rsidR="001F77E3" w:rsidRDefault="00497837" w:rsidP="001F77E3">
      <w:pPr>
        <w:spacing w:line="360" w:lineRule="auto"/>
        <w:ind w:firstLine="709"/>
        <w:jc w:val="both"/>
        <w:rPr>
          <w:sz w:val="28"/>
          <w:szCs w:val="28"/>
        </w:rPr>
      </w:pPr>
      <w:r w:rsidRPr="00497837">
        <w:rPr>
          <w:sz w:val="28"/>
          <w:szCs w:val="28"/>
        </w:rPr>
        <w:t xml:space="preserve">Что касается непосредственно Нижегородской области, то в структуре выпуска продукции по Нижегородской области преобладает нефтепереработка, нефтехимия и </w:t>
      </w:r>
      <w:proofErr w:type="spellStart"/>
      <w:r w:rsidRPr="00497837">
        <w:rPr>
          <w:sz w:val="28"/>
          <w:szCs w:val="28"/>
        </w:rPr>
        <w:t>газохимия</w:t>
      </w:r>
      <w:proofErr w:type="spellEnd"/>
      <w:r w:rsidRPr="00497837">
        <w:rPr>
          <w:sz w:val="28"/>
          <w:szCs w:val="28"/>
        </w:rPr>
        <w:t>, металлургическое производство, производство транспортных средств и оборудования, производство электроэнергии, газа и воды, пищевая промышленность и прочие производства.</w:t>
      </w:r>
      <w:r w:rsidR="001F77E3">
        <w:rPr>
          <w:sz w:val="28"/>
          <w:szCs w:val="28"/>
        </w:rPr>
        <w:t xml:space="preserve"> Крупнейшие производства сосредоточены в нефтепереработке (38%), автомобилестроении (</w:t>
      </w:r>
      <w:r w:rsidR="006D5072">
        <w:rPr>
          <w:sz w:val="28"/>
          <w:szCs w:val="28"/>
        </w:rPr>
        <w:t>14%) и пищевой промышленности (19%).</w:t>
      </w:r>
    </w:p>
    <w:p w:rsidR="006D5072" w:rsidRDefault="006D5072" w:rsidP="001F77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предприятиям Нижегородской области следует отнести:</w:t>
      </w:r>
    </w:p>
    <w:p w:rsidR="006D5072" w:rsidRDefault="006D5072" w:rsidP="001F77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Лукойл – занятых 2,4 тыс. чел.; выручка 208 млрд. руб. в год;</w:t>
      </w:r>
    </w:p>
    <w:p w:rsidR="006D5072" w:rsidRDefault="006D5072" w:rsidP="001F77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(возможен рост выручки предприятия в связи с низким уровнем импорта аналогичной продукции);</w:t>
      </w:r>
    </w:p>
    <w:p w:rsidR="006D5072" w:rsidRDefault="006D5072" w:rsidP="001F77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ОАО Выксунский металлургический завод – занятых на предприятии 12 тыс. чел.; выручка 104 млрд. руб. в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озможен также рост выручки и оборота в целом, в связи с низким уровнем импорта аналогичной продукции и возможностью открытого выхода на международный ры</w:t>
      </w:r>
      <w:r w:rsidR="009021FC">
        <w:rPr>
          <w:sz w:val="28"/>
          <w:szCs w:val="28"/>
        </w:rPr>
        <w:t xml:space="preserve">нок). Однако, в </w:t>
      </w:r>
      <w:r w:rsidR="009021FC">
        <w:rPr>
          <w:sz w:val="28"/>
          <w:szCs w:val="28"/>
        </w:rPr>
        <w:lastRenderedPageBreak/>
        <w:t>октябре 2013 г. уже было Решение суда о незаконном демпинге по отношению к «Новокраматорскому машиностроительному</w:t>
      </w:r>
      <w:r w:rsidR="009021FC" w:rsidRPr="009021FC">
        <w:rPr>
          <w:sz w:val="28"/>
          <w:szCs w:val="28"/>
        </w:rPr>
        <w:t xml:space="preserve"> завод</w:t>
      </w:r>
      <w:r w:rsidR="009021FC">
        <w:rPr>
          <w:sz w:val="28"/>
          <w:szCs w:val="28"/>
        </w:rPr>
        <w:t>у</w:t>
      </w:r>
      <w:r w:rsidR="009021FC" w:rsidRPr="009021FC">
        <w:rPr>
          <w:sz w:val="28"/>
          <w:szCs w:val="28"/>
        </w:rPr>
        <w:t>»</w:t>
      </w:r>
      <w:r w:rsidR="009021FC">
        <w:rPr>
          <w:sz w:val="28"/>
          <w:szCs w:val="28"/>
        </w:rPr>
        <w:t>.</w:t>
      </w:r>
    </w:p>
    <w:p w:rsidR="009021FC" w:rsidRDefault="009021FC" w:rsidP="001F77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4D91">
        <w:rPr>
          <w:sz w:val="28"/>
          <w:szCs w:val="28"/>
        </w:rPr>
        <w:t>ООО ККЭБСЕ – занятых 24,6 тыс. чел.; выручка 44млрд. руб. (присущ риск снижения выручки, вследствие высокого роста ввоза импортной аналогичной продукции);</w:t>
      </w:r>
    </w:p>
    <w:p w:rsidR="00FB4D91" w:rsidRDefault="00FB4D91" w:rsidP="001F77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ТД НМЖК – занятых 6,3 тыс. чел; выручка 20,9 млрд. руб. </w:t>
      </w:r>
      <w:r w:rsidRPr="00FB4D91">
        <w:rPr>
          <w:sz w:val="28"/>
          <w:szCs w:val="28"/>
        </w:rPr>
        <w:t>(присущ риск снижения выручки, вследствие высокого роста ввоза импортной аналогичной продукции)</w:t>
      </w:r>
      <w:r>
        <w:rPr>
          <w:sz w:val="28"/>
          <w:szCs w:val="28"/>
        </w:rPr>
        <w:t>.</w:t>
      </w:r>
    </w:p>
    <w:p w:rsidR="00FB4D91" w:rsidRDefault="00FB4D91" w:rsidP="001F77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5055BD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основе данных</w:t>
      </w:r>
      <w:r w:rsidR="005055B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представленных Аналитическим центром ВТО – ИНФОРМ</w:t>
      </w:r>
      <w:r w:rsidR="005055BD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финансовые потери для Нижегородской области к 2020 г. могут составить около 212 млрд. рублей  (что составляет около 17,6% от общего выпуска продукции) и привести к сокращению от 104 до 207 тыс. рабочих мест.</w:t>
      </w:r>
    </w:p>
    <w:p w:rsidR="00FB4D91" w:rsidRDefault="00497837" w:rsidP="001F77E3">
      <w:pPr>
        <w:spacing w:line="360" w:lineRule="auto"/>
        <w:ind w:firstLine="709"/>
        <w:jc w:val="both"/>
        <w:rPr>
          <w:sz w:val="28"/>
          <w:szCs w:val="28"/>
        </w:rPr>
      </w:pPr>
      <w:r w:rsidRPr="00497837">
        <w:rPr>
          <w:sz w:val="28"/>
          <w:szCs w:val="28"/>
        </w:rPr>
        <w:t xml:space="preserve">Вначале 2000-х гг. Министерство экономического развития РФ озадачило Всемирный банк провести цикл исследований, направленный на изучение последствий вступления России в ВТО. </w:t>
      </w:r>
      <w:r w:rsidR="005055BD">
        <w:rPr>
          <w:sz w:val="28"/>
          <w:szCs w:val="28"/>
        </w:rPr>
        <w:t>Эти и</w:t>
      </w:r>
      <w:r w:rsidRPr="00497837">
        <w:rPr>
          <w:sz w:val="28"/>
          <w:szCs w:val="28"/>
        </w:rPr>
        <w:t xml:space="preserve">сследования показали, что основное потенциальное преимущество присоединения России к ВТО заключается в повышении производительности сектора </w:t>
      </w:r>
      <w:proofErr w:type="gramStart"/>
      <w:r w:rsidRPr="00497837">
        <w:rPr>
          <w:sz w:val="28"/>
          <w:szCs w:val="28"/>
        </w:rPr>
        <w:t>бизнес-услуг</w:t>
      </w:r>
      <w:proofErr w:type="gramEnd"/>
      <w:r w:rsidRPr="00497837">
        <w:rPr>
          <w:sz w:val="28"/>
          <w:szCs w:val="28"/>
        </w:rPr>
        <w:t xml:space="preserve"> в результате увеличения объема прямых иностранных инвестиций. Однако масштаб положительных изменений напрямую будет зависеть от успешного проведения реформ по улучшению </w:t>
      </w:r>
      <w:proofErr w:type="gramStart"/>
      <w:r w:rsidRPr="00497837">
        <w:rPr>
          <w:sz w:val="28"/>
          <w:szCs w:val="28"/>
        </w:rPr>
        <w:t>бизнес-климата</w:t>
      </w:r>
      <w:proofErr w:type="gramEnd"/>
      <w:r w:rsidRPr="00497837">
        <w:rPr>
          <w:sz w:val="28"/>
          <w:szCs w:val="28"/>
        </w:rPr>
        <w:t xml:space="preserve"> в России. Работа в данном направлении должна включать в себя: снижение и упрощение административных барьеров, реформирование российской судебной и правовой системы, борьбу с коррупцией, раз</w:t>
      </w:r>
      <w:r w:rsidR="00C862F1">
        <w:rPr>
          <w:sz w:val="28"/>
          <w:szCs w:val="28"/>
        </w:rPr>
        <w:t>витие инфраструктуры.</w:t>
      </w:r>
    </w:p>
    <w:p w:rsidR="00C862F1" w:rsidRDefault="00C862F1" w:rsidP="001F77E3">
      <w:pPr>
        <w:spacing w:line="360" w:lineRule="auto"/>
        <w:ind w:firstLine="709"/>
        <w:jc w:val="both"/>
        <w:rPr>
          <w:sz w:val="28"/>
          <w:szCs w:val="28"/>
        </w:rPr>
      </w:pPr>
      <w:r w:rsidRPr="00C862F1">
        <w:rPr>
          <w:sz w:val="28"/>
          <w:szCs w:val="28"/>
        </w:rPr>
        <w:t>Россия, присоединившись к ВТО, получила законный выход в международное правовое пространство и возможность международно-правовой защиты своих экономических интересов</w:t>
      </w:r>
      <w:proofErr w:type="gramStart"/>
      <w:r w:rsidRPr="00C862F1">
        <w:rPr>
          <w:sz w:val="28"/>
          <w:szCs w:val="28"/>
        </w:rPr>
        <w:t xml:space="preserve"> .</w:t>
      </w:r>
      <w:proofErr w:type="gramEnd"/>
      <w:r w:rsidRPr="00C862F1">
        <w:rPr>
          <w:sz w:val="28"/>
          <w:szCs w:val="28"/>
        </w:rPr>
        <w:t xml:space="preserve"> Большое значение для регулирования предпринимательской деятельности с участием иностранного элемента в настоящее время имеет Федеральный закон от 8 декабря 2003 г. № 164-ФЗ «Об основах государственного регулирования внешнеторговой </w:t>
      </w:r>
      <w:r w:rsidRPr="00C862F1">
        <w:rPr>
          <w:sz w:val="28"/>
          <w:szCs w:val="28"/>
        </w:rPr>
        <w:lastRenderedPageBreak/>
        <w:t xml:space="preserve">деятельности» далее – Закон). </w:t>
      </w:r>
      <w:proofErr w:type="gramStart"/>
      <w:r w:rsidRPr="00C862F1">
        <w:rPr>
          <w:sz w:val="28"/>
          <w:szCs w:val="28"/>
        </w:rPr>
        <w:t xml:space="preserve">В целях максимального соответствия положениям ГАТТ-1994 (Генеральное соглашение по тарифам и торговле) и сближения с Соглашениями ВТО в Закон включены главы и статьи, которые отсутствовали в ранее действовавшем Федеральном законе от 13 октября 1995 г. № 157-ФЗ «О государственном регулировании внешнеторговой деятельности», например, ст. 15, глава 5, ст. 21-24, 27, 30 и 32 . </w:t>
      </w:r>
      <w:proofErr w:type="gramEnd"/>
    </w:p>
    <w:p w:rsidR="00C862F1" w:rsidRDefault="00C862F1" w:rsidP="001F77E3">
      <w:pPr>
        <w:spacing w:line="360" w:lineRule="auto"/>
        <w:ind w:firstLine="709"/>
        <w:jc w:val="both"/>
        <w:rPr>
          <w:sz w:val="28"/>
          <w:szCs w:val="28"/>
        </w:rPr>
      </w:pPr>
      <w:r w:rsidRPr="00C862F1">
        <w:rPr>
          <w:sz w:val="28"/>
          <w:szCs w:val="28"/>
        </w:rPr>
        <w:t xml:space="preserve">Внесенные изменения в основном коснулись снижения административных барьеров. Однако стоит заметить, что ряд важных положений так и не нашел отражения в Законе. Например, нет упоминания о развитии системы саморегулируемых организаций в области внешней торговли товарами, услугами и правами на интеллектуальную собственность; не говориться о роли торгово-промышленных палат в складывании внешнеторговой политики России; не отражены такие функции торгово-промышленных палат, как функция обучения предпринимателей - участников внешнеэкономической деятельности и консультативно-информационная функция. </w:t>
      </w:r>
    </w:p>
    <w:p w:rsidR="001F77E3" w:rsidRDefault="00C862F1" w:rsidP="001F77E3">
      <w:pPr>
        <w:spacing w:line="360" w:lineRule="auto"/>
        <w:ind w:firstLine="709"/>
        <w:jc w:val="both"/>
        <w:rPr>
          <w:sz w:val="28"/>
          <w:szCs w:val="28"/>
        </w:rPr>
      </w:pPr>
      <w:r w:rsidRPr="00C862F1">
        <w:rPr>
          <w:sz w:val="28"/>
          <w:szCs w:val="28"/>
        </w:rPr>
        <w:t>Особо отметим, что ФЗ от 8 декабря 2003 г. № 164-ФЗ «Об основах государственного регулирования внешнеторговой деятельности» отражает императивную модель взаимодействия государства и предприни</w:t>
      </w:r>
      <w:r>
        <w:rPr>
          <w:sz w:val="28"/>
          <w:szCs w:val="28"/>
        </w:rPr>
        <w:t>мателей. Согласно нормам Закона</w:t>
      </w:r>
      <w:r w:rsidRPr="00C862F1">
        <w:rPr>
          <w:sz w:val="28"/>
          <w:szCs w:val="28"/>
        </w:rPr>
        <w:t xml:space="preserve"> государство предписывает правила, а предпринимат</w:t>
      </w:r>
      <w:r>
        <w:rPr>
          <w:sz w:val="28"/>
          <w:szCs w:val="28"/>
        </w:rPr>
        <w:t>ели их неукоснительно выполняют</w:t>
      </w:r>
      <w:r w:rsidRPr="00C862F1">
        <w:rPr>
          <w:sz w:val="28"/>
          <w:szCs w:val="28"/>
        </w:rPr>
        <w:t>. То есть концепция постоянного и оптимального взаимодействия государства и предпринимателей на законодательном уровне, по-прежнему отсутствует.</w:t>
      </w:r>
    </w:p>
    <w:p w:rsidR="00C862F1" w:rsidRDefault="00C862F1" w:rsidP="001F77E3">
      <w:pPr>
        <w:spacing w:line="360" w:lineRule="auto"/>
        <w:ind w:firstLine="709"/>
        <w:jc w:val="both"/>
        <w:rPr>
          <w:sz w:val="28"/>
          <w:szCs w:val="28"/>
        </w:rPr>
      </w:pPr>
      <w:r w:rsidRPr="00C862F1">
        <w:rPr>
          <w:sz w:val="28"/>
          <w:szCs w:val="28"/>
        </w:rPr>
        <w:t xml:space="preserve">Процесс адаптации российского бизнеса к нормам ВТО напрямую зависит от нормативно-правовой базы, как на национальном уровне, так и на уровне норм международного права. К Соглашению об учреждении ВТО прилагается пакет документов, состоящий из около 50 соглашений, направленных на регулирование торговли товарами, услугами, правами на интеллектуальную собственность и др. Россия, вступая в ВТО, автоматически берет на себя обязательства по всему комплексу соглашений. </w:t>
      </w:r>
      <w:r>
        <w:rPr>
          <w:sz w:val="28"/>
          <w:szCs w:val="28"/>
        </w:rPr>
        <w:lastRenderedPageBreak/>
        <w:t xml:space="preserve">Отметим, что </w:t>
      </w:r>
      <w:r w:rsidRPr="00C862F1">
        <w:rPr>
          <w:sz w:val="28"/>
          <w:szCs w:val="28"/>
        </w:rPr>
        <w:t>право ВТО находится в тесном взаимодействии с внутренним законодательством государств-участников. Право ВТО прямо определяет, каким должно быть внутреннее национальное законодатель</w:t>
      </w:r>
      <w:r>
        <w:rPr>
          <w:sz w:val="28"/>
          <w:szCs w:val="28"/>
        </w:rPr>
        <w:t>ство в соответствующих вопросах</w:t>
      </w:r>
      <w:r w:rsidRPr="00C862F1">
        <w:rPr>
          <w:sz w:val="28"/>
          <w:szCs w:val="28"/>
        </w:rPr>
        <w:t>. Думается, право ВТО императивно устанавливает, каким должно быть внутреннее законодательство в соответствующих вопросах, и тем самым выступает в качестве механизма унификации внутренних правовых систем. Право ВТО демонстрирует нам постепенную смену методов регулирования международной торговли различными государствами мира.</w:t>
      </w:r>
    </w:p>
    <w:p w:rsidR="00C862F1" w:rsidRDefault="00C862F1" w:rsidP="001F77E3">
      <w:pPr>
        <w:spacing w:line="360" w:lineRule="auto"/>
        <w:ind w:firstLine="709"/>
        <w:jc w:val="both"/>
        <w:rPr>
          <w:sz w:val="28"/>
          <w:szCs w:val="28"/>
        </w:rPr>
      </w:pPr>
      <w:r w:rsidRPr="00C862F1">
        <w:rPr>
          <w:sz w:val="28"/>
          <w:szCs w:val="28"/>
        </w:rPr>
        <w:t xml:space="preserve">Нормы права ВТО необходимо учиться применять на практике. Нужно четко знать, как поступать, как действовать, в случае если бизнесмены столкнулись с барьерами на иностранных рынках или, наоборот, если на российском рынке иностранные предприниматели используют приемы недобросовестной конкуренции, например частый прием - демпинг. Необходима отлаженная система подготовки высококвалифицированных специалистов в области права ВТО и ведения бизнеса на международном уровне. </w:t>
      </w:r>
    </w:p>
    <w:p w:rsidR="00C862F1" w:rsidRDefault="00A5709E" w:rsidP="001F77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C862F1">
        <w:rPr>
          <w:sz w:val="28"/>
          <w:szCs w:val="28"/>
        </w:rPr>
        <w:t xml:space="preserve">, </w:t>
      </w:r>
      <w:r>
        <w:rPr>
          <w:sz w:val="28"/>
          <w:szCs w:val="28"/>
        </w:rPr>
        <w:t>видим</w:t>
      </w:r>
      <w:r w:rsidR="00C862F1">
        <w:rPr>
          <w:sz w:val="28"/>
          <w:szCs w:val="28"/>
        </w:rPr>
        <w:t xml:space="preserve">, что российские производители </w:t>
      </w:r>
      <w:r w:rsidR="00C862F1" w:rsidRPr="00C862F1">
        <w:rPr>
          <w:sz w:val="28"/>
          <w:szCs w:val="28"/>
        </w:rPr>
        <w:t xml:space="preserve"> при выходе на международный рынок не</w:t>
      </w:r>
      <w:r w:rsidR="005055BD">
        <w:rPr>
          <w:sz w:val="28"/>
          <w:szCs w:val="28"/>
        </w:rPr>
        <w:t xml:space="preserve"> достаточно</w:t>
      </w:r>
      <w:r w:rsidR="00C862F1" w:rsidRPr="00C862F1">
        <w:rPr>
          <w:sz w:val="28"/>
          <w:szCs w:val="28"/>
        </w:rPr>
        <w:t xml:space="preserve"> защищен</w:t>
      </w:r>
      <w:r w:rsidR="005055BD">
        <w:rPr>
          <w:sz w:val="28"/>
          <w:szCs w:val="28"/>
        </w:rPr>
        <w:t>ы</w:t>
      </w:r>
      <w:r w:rsidR="00C862F1" w:rsidRPr="00C862F1">
        <w:rPr>
          <w:sz w:val="28"/>
          <w:szCs w:val="28"/>
        </w:rPr>
        <w:t xml:space="preserve"> с правовой точки зрения</w:t>
      </w:r>
      <w:r w:rsidR="005055BD">
        <w:rPr>
          <w:sz w:val="28"/>
          <w:szCs w:val="28"/>
        </w:rPr>
        <w:t xml:space="preserve">, а </w:t>
      </w:r>
      <w:r>
        <w:rPr>
          <w:sz w:val="28"/>
          <w:szCs w:val="28"/>
        </w:rPr>
        <w:t>государственное</w:t>
      </w:r>
      <w:bookmarkStart w:id="0" w:name="_GoBack"/>
      <w:bookmarkEnd w:id="0"/>
      <w:r w:rsidR="005055BD">
        <w:rPr>
          <w:sz w:val="28"/>
          <w:szCs w:val="28"/>
        </w:rPr>
        <w:t xml:space="preserve"> </w:t>
      </w:r>
      <w:r w:rsidR="005055BD" w:rsidRPr="00C862F1">
        <w:rPr>
          <w:sz w:val="28"/>
          <w:szCs w:val="28"/>
        </w:rPr>
        <w:t>регулирования внешнеторговой деятельности</w:t>
      </w:r>
      <w:r w:rsidR="005055BD">
        <w:rPr>
          <w:sz w:val="28"/>
          <w:szCs w:val="28"/>
        </w:rPr>
        <w:t xml:space="preserve"> нуждается в совершенствовании по целому ряду обозначенных направлений</w:t>
      </w:r>
      <w:r w:rsidR="00C862F1" w:rsidRPr="00C862F1">
        <w:rPr>
          <w:sz w:val="28"/>
          <w:szCs w:val="28"/>
        </w:rPr>
        <w:t>.</w:t>
      </w:r>
      <w:r w:rsidR="00C862F1">
        <w:rPr>
          <w:sz w:val="28"/>
          <w:szCs w:val="28"/>
        </w:rPr>
        <w:t xml:space="preserve"> </w:t>
      </w:r>
    </w:p>
    <w:p w:rsidR="00C862F1" w:rsidRDefault="00C862F1" w:rsidP="001F77E3">
      <w:pPr>
        <w:spacing w:line="360" w:lineRule="auto"/>
        <w:ind w:firstLine="709"/>
        <w:jc w:val="both"/>
        <w:rPr>
          <w:sz w:val="28"/>
          <w:szCs w:val="28"/>
        </w:rPr>
      </w:pPr>
    </w:p>
    <w:p w:rsidR="00C862F1" w:rsidRDefault="00C862F1" w:rsidP="001F77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62F1" w:rsidRDefault="00C862F1" w:rsidP="00C862F1">
      <w:pPr>
        <w:spacing w:after="160" w:line="259" w:lineRule="auto"/>
        <w:rPr>
          <w:rFonts w:ascii="Arial" w:hAnsi="Arial" w:cs="Arial"/>
          <w:b/>
          <w:lang w:eastAsia="en-US"/>
        </w:rPr>
        <w:sectPr w:rsidR="00C86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2F1" w:rsidRPr="00C862F1" w:rsidRDefault="00C862F1" w:rsidP="00C862F1">
      <w:pPr>
        <w:spacing w:after="160" w:line="259" w:lineRule="auto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lastRenderedPageBreak/>
        <w:t xml:space="preserve">*Таблицы в приложении составлены автором на основе данных Аналитического центра «ВТО-ИНФОРМ» </w:t>
      </w:r>
      <w:r w:rsidRPr="00C862F1">
        <w:rPr>
          <w:rFonts w:ascii="Arial" w:hAnsi="Arial" w:cs="Arial"/>
          <w:b/>
          <w:vertAlign w:val="superscript"/>
          <w:lang w:eastAsia="en-US"/>
        </w:rPr>
        <w:footnoteReference w:id="2"/>
      </w:r>
    </w:p>
    <w:p w:rsidR="00C862F1" w:rsidRPr="00C862F1" w:rsidRDefault="00C862F1" w:rsidP="00C862F1">
      <w:pPr>
        <w:spacing w:after="160" w:line="259" w:lineRule="auto"/>
        <w:jc w:val="right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t>Приложение№1</w:t>
      </w: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t>Возможные потери Центрального федерального округа к 2020г. (</w:t>
      </w:r>
      <w:proofErr w:type="gramStart"/>
      <w:r w:rsidRPr="00C862F1">
        <w:rPr>
          <w:rFonts w:ascii="Arial" w:hAnsi="Arial" w:cs="Arial"/>
          <w:b/>
          <w:lang w:eastAsia="en-US"/>
        </w:rPr>
        <w:t>в</w:t>
      </w:r>
      <w:proofErr w:type="gramEnd"/>
      <w:r w:rsidRPr="00C862F1">
        <w:rPr>
          <w:rFonts w:ascii="Arial" w:hAnsi="Arial" w:cs="Arial"/>
          <w:b/>
          <w:lang w:eastAsia="en-US"/>
        </w:rPr>
        <w:t xml:space="preserve"> % по каждому субъекту</w:t>
      </w:r>
      <w:r w:rsidRPr="00C862F1">
        <w:rPr>
          <w:rFonts w:ascii="Arial" w:hAnsi="Arial" w:cs="Arial"/>
          <w:b/>
          <w:highlight w:val="yellow"/>
          <w:lang w:eastAsia="en-US"/>
        </w:rPr>
        <w:t>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559"/>
        <w:gridCol w:w="1560"/>
        <w:gridCol w:w="1701"/>
        <w:gridCol w:w="1701"/>
        <w:gridCol w:w="1417"/>
        <w:gridCol w:w="1701"/>
        <w:gridCol w:w="1559"/>
        <w:gridCol w:w="1701"/>
      </w:tblGrid>
      <w:tr w:rsidR="00C862F1" w:rsidRPr="00C862F1" w:rsidTr="00A4506B">
        <w:trPr>
          <w:trHeight w:val="1021"/>
        </w:trPr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Субъект 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Пищевая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пром-ть</w:t>
            </w:r>
            <w:proofErr w:type="spellEnd"/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Машины, оборудование металлургия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Тяжелое и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энерг</w:t>
            </w:r>
            <w:proofErr w:type="spellEnd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машиностр</w:t>
            </w:r>
            <w:proofErr w:type="spellEnd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Производство эл. оборудования</w:t>
            </w: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животноводство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Производство мяса, включая мясо курицы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Общие потери в млрд. руб.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Московская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13 – 17%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60 – 71%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88%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45%</w:t>
            </w: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53,3 – 84,7%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55,5 – 95,6%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579,5 – 627,2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Белгородская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34% - 40%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95 – 100%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24% - 29%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36% - 46%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19,987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Курская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24% – 31%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51% - 84%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18% - 25%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49% - 50%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78%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69,6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Орловская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35,5% - 38%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77% - 98%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24% – 27%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46 %– 54%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88% - 93%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27,3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Тамбовская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28%- 39%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44% - 52%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46% - 100%</w:t>
            </w: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23%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40% - 73%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31,5 – 34,6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Липецкая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26% - 39%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54% - 59%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46% - 48%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50,1% – 55,7%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50,1- 55,7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Брянская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25 %– 26%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41% - 46%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14% - 29%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46 – 61,4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24% - 33%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65% - 74%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61,6 - 70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Рязанская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24% - 26%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57% - 64%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44% - 46%</w:t>
            </w: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23%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46% - 50%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19%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47,4 – 50,1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Владимирская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27% - 32%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74% - 76%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21%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37% - 46%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14%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97,2 –99,6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Ивановская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25,8% - 44,8%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85,4% - 100%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16,5% - 18,4%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45,6% – 49,4%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14,1% - 24%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71,8 – 104,0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Костромская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28,4% - 27%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32,2 – 52%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18,7% - 18,8%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40,8% - 45,6%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14,2% - 20,8%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27,7 – 31,60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Ярославская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15% - 17%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13% - 30%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67% - 70%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39%- 46%</w:t>
            </w: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22%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40%- 46%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58,1 – 68,80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Тверская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245 – 31%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34% - 55%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38% - 46%</w:t>
            </w: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22%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58,4 – 65,7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Калужская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24% - 31%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34% - 55%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78 - 104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Смоленская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22%- 26%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71% - 80%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99%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14%  - 31%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216 - 293</w:t>
            </w:r>
          </w:p>
        </w:tc>
      </w:tr>
      <w:tr w:rsidR="00C862F1" w:rsidRPr="00C862F1" w:rsidTr="00A4506B">
        <w:tc>
          <w:tcPr>
            <w:tcW w:w="251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Воронежская область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37 – 38%</w:t>
            </w:r>
          </w:p>
        </w:tc>
        <w:tc>
          <w:tcPr>
            <w:tcW w:w="156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75% – 79%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42%– 46%</w:t>
            </w:r>
          </w:p>
        </w:tc>
        <w:tc>
          <w:tcPr>
            <w:tcW w:w="141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21% - 24%</w:t>
            </w: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25% - 27%</w:t>
            </w:r>
          </w:p>
        </w:tc>
        <w:tc>
          <w:tcPr>
            <w:tcW w:w="155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232,50</w:t>
            </w:r>
          </w:p>
        </w:tc>
      </w:tr>
    </w:tbl>
    <w:p w:rsidR="00C862F1" w:rsidRPr="00C862F1" w:rsidRDefault="00C862F1" w:rsidP="00C862F1">
      <w:pPr>
        <w:spacing w:after="1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right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lastRenderedPageBreak/>
        <w:t>Приложение№2</w:t>
      </w: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t>Возможные потери Северо-западного федерального округа к 2020г. (</w:t>
      </w:r>
      <w:proofErr w:type="gramStart"/>
      <w:r w:rsidRPr="00C862F1">
        <w:rPr>
          <w:rFonts w:ascii="Arial" w:hAnsi="Arial" w:cs="Arial"/>
          <w:b/>
          <w:lang w:eastAsia="en-US"/>
        </w:rPr>
        <w:t>в</w:t>
      </w:r>
      <w:proofErr w:type="gramEnd"/>
      <w:r w:rsidRPr="00C862F1">
        <w:rPr>
          <w:rFonts w:ascii="Arial" w:hAnsi="Arial" w:cs="Arial"/>
          <w:b/>
          <w:lang w:eastAsia="en-US"/>
        </w:rPr>
        <w:t xml:space="preserve"> % по каждому субъекту)</w:t>
      </w: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b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1161"/>
        <w:gridCol w:w="2071"/>
        <w:gridCol w:w="1944"/>
        <w:gridCol w:w="1661"/>
        <w:gridCol w:w="1244"/>
        <w:gridCol w:w="1661"/>
        <w:gridCol w:w="1683"/>
        <w:gridCol w:w="1262"/>
        <w:gridCol w:w="980"/>
      </w:tblGrid>
      <w:tr w:rsidR="00C862F1" w:rsidRPr="00C862F1" w:rsidTr="00A4506B">
        <w:trPr>
          <w:trHeight w:val="1021"/>
        </w:trPr>
        <w:tc>
          <w:tcPr>
            <w:tcW w:w="10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Субъект </w:t>
            </w:r>
          </w:p>
        </w:tc>
        <w:tc>
          <w:tcPr>
            <w:tcW w:w="11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Пищевая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пром-ть</w:t>
            </w:r>
            <w:proofErr w:type="spellEnd"/>
          </w:p>
        </w:tc>
        <w:tc>
          <w:tcPr>
            <w:tcW w:w="20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Машиностроение,</w:t>
            </w:r>
          </w:p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оборудование, металлургия</w:t>
            </w: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Животноводство</w:t>
            </w: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Производство мяса и мясной продукции, включая мясо курицы</w:t>
            </w:r>
          </w:p>
        </w:tc>
        <w:tc>
          <w:tcPr>
            <w:tcW w:w="12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Производство консервов, рыбно – и </w:t>
            </w:r>
            <w:proofErr w:type="gram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море продуктов</w:t>
            </w:r>
            <w:proofErr w:type="gramEnd"/>
          </w:p>
        </w:tc>
        <w:tc>
          <w:tcPr>
            <w:tcW w:w="16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Целлюлозно-бумажное производство, полиграфия, издательская деятельность</w:t>
            </w:r>
          </w:p>
        </w:tc>
        <w:tc>
          <w:tcPr>
            <w:tcW w:w="181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Лесная,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обрабат</w:t>
            </w:r>
            <w:proofErr w:type="spellEnd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пром-ть</w:t>
            </w:r>
            <w:proofErr w:type="spellEnd"/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Общие потери </w:t>
            </w:r>
          </w:p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млрд.</w:t>
            </w:r>
          </w:p>
        </w:tc>
      </w:tr>
      <w:tr w:rsidR="00C862F1" w:rsidRPr="00C862F1" w:rsidTr="00A4506B">
        <w:tc>
          <w:tcPr>
            <w:tcW w:w="10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Республика Коми</w:t>
            </w:r>
          </w:p>
        </w:tc>
        <w:tc>
          <w:tcPr>
            <w:tcW w:w="11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56% - 73%</w:t>
            </w:r>
          </w:p>
        </w:tc>
        <w:tc>
          <w:tcPr>
            <w:tcW w:w="181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51% - 60%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16,1 – 31,7</w:t>
            </w:r>
          </w:p>
        </w:tc>
      </w:tr>
      <w:tr w:rsidR="00C862F1" w:rsidRPr="00C862F1" w:rsidTr="00A4506B">
        <w:tc>
          <w:tcPr>
            <w:tcW w:w="10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Архангельская область</w:t>
            </w:r>
          </w:p>
        </w:tc>
        <w:tc>
          <w:tcPr>
            <w:tcW w:w="11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47% - 63%</w:t>
            </w:r>
          </w:p>
        </w:tc>
        <w:tc>
          <w:tcPr>
            <w:tcW w:w="181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47% - 53%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44,2 – 59,10</w:t>
            </w:r>
          </w:p>
        </w:tc>
      </w:tr>
      <w:tr w:rsidR="00C862F1" w:rsidRPr="00C862F1" w:rsidTr="00A4506B">
        <w:tc>
          <w:tcPr>
            <w:tcW w:w="10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Ненецкий автономный округ</w:t>
            </w:r>
          </w:p>
        </w:tc>
        <w:tc>
          <w:tcPr>
            <w:tcW w:w="11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8,3% - 49,8%</w:t>
            </w: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47,9% - 55,6%</w:t>
            </w:r>
          </w:p>
        </w:tc>
        <w:tc>
          <w:tcPr>
            <w:tcW w:w="181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40% - 47%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44,2 – 59,10</w:t>
            </w:r>
          </w:p>
        </w:tc>
      </w:tr>
      <w:tr w:rsidR="00C862F1" w:rsidRPr="00C862F1" w:rsidTr="00A4506B">
        <w:tc>
          <w:tcPr>
            <w:tcW w:w="10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Вологодская область</w:t>
            </w:r>
          </w:p>
        </w:tc>
        <w:tc>
          <w:tcPr>
            <w:tcW w:w="11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28% - 32,5%</w:t>
            </w:r>
          </w:p>
        </w:tc>
        <w:tc>
          <w:tcPr>
            <w:tcW w:w="20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41% - 45,6%</w:t>
            </w:r>
          </w:p>
        </w:tc>
        <w:tc>
          <w:tcPr>
            <w:tcW w:w="12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20% - 24%</w:t>
            </w: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40% - 47%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39,30- 41,70</w:t>
            </w:r>
          </w:p>
        </w:tc>
      </w:tr>
      <w:tr w:rsidR="00C862F1" w:rsidRPr="00C862F1" w:rsidTr="00A4506B">
        <w:tc>
          <w:tcPr>
            <w:tcW w:w="10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Республика Карелия</w:t>
            </w:r>
          </w:p>
        </w:tc>
        <w:tc>
          <w:tcPr>
            <w:tcW w:w="11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40% - 56%</w:t>
            </w:r>
          </w:p>
        </w:tc>
        <w:tc>
          <w:tcPr>
            <w:tcW w:w="181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37% - 48%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22,6 – 28,10</w:t>
            </w:r>
          </w:p>
        </w:tc>
      </w:tr>
      <w:tr w:rsidR="00C862F1" w:rsidRPr="00C862F1" w:rsidTr="00A4506B">
        <w:tc>
          <w:tcPr>
            <w:tcW w:w="10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Ленинградская область</w:t>
            </w:r>
          </w:p>
        </w:tc>
        <w:tc>
          <w:tcPr>
            <w:tcW w:w="11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12% -15%</w:t>
            </w:r>
          </w:p>
        </w:tc>
        <w:tc>
          <w:tcPr>
            <w:tcW w:w="20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35% -41%</w:t>
            </w: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17% - 21%</w:t>
            </w: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48% - 49%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153,30 – 176,80</w:t>
            </w:r>
          </w:p>
        </w:tc>
      </w:tr>
      <w:tr w:rsidR="00C862F1" w:rsidRPr="00C862F1" w:rsidTr="00A4506B">
        <w:tc>
          <w:tcPr>
            <w:tcW w:w="10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Новгородская область</w:t>
            </w:r>
          </w:p>
        </w:tc>
        <w:tc>
          <w:tcPr>
            <w:tcW w:w="11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35% - 45,6%</w:t>
            </w:r>
          </w:p>
        </w:tc>
        <w:tc>
          <w:tcPr>
            <w:tcW w:w="20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72,3% - 84,7%</w:t>
            </w: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18,4% - 21,1%</w:t>
            </w: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39% - 48,6%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35,20 – 36,90</w:t>
            </w:r>
          </w:p>
        </w:tc>
      </w:tr>
      <w:tr w:rsidR="00C862F1" w:rsidRPr="00C862F1" w:rsidTr="00A4506B">
        <w:tc>
          <w:tcPr>
            <w:tcW w:w="10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Псковская область</w:t>
            </w:r>
          </w:p>
        </w:tc>
        <w:tc>
          <w:tcPr>
            <w:tcW w:w="11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34,5% - 37,4%</w:t>
            </w:r>
          </w:p>
        </w:tc>
        <w:tc>
          <w:tcPr>
            <w:tcW w:w="20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97% - 100%</w:t>
            </w: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17% - 21,1%</w:t>
            </w: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32,10 – 32,40</w:t>
            </w:r>
          </w:p>
        </w:tc>
      </w:tr>
      <w:tr w:rsidR="00C862F1" w:rsidRPr="00C862F1" w:rsidTr="00A4506B">
        <w:tc>
          <w:tcPr>
            <w:tcW w:w="10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Мурманская область</w:t>
            </w:r>
          </w:p>
        </w:tc>
        <w:tc>
          <w:tcPr>
            <w:tcW w:w="11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45,6% - 61,4%</w:t>
            </w:r>
          </w:p>
        </w:tc>
        <w:tc>
          <w:tcPr>
            <w:tcW w:w="12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32,4% - 64%</w:t>
            </w:r>
          </w:p>
        </w:tc>
        <w:tc>
          <w:tcPr>
            <w:tcW w:w="16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17,80 – 23,60</w:t>
            </w:r>
          </w:p>
        </w:tc>
      </w:tr>
    </w:tbl>
    <w:p w:rsidR="00C862F1" w:rsidRPr="00C862F1" w:rsidRDefault="00C862F1" w:rsidP="00C862F1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right"/>
        <w:rPr>
          <w:rFonts w:ascii="Arial" w:hAnsi="Arial" w:cs="Arial"/>
          <w:b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right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t>Приложение№3</w:t>
      </w: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lastRenderedPageBreak/>
        <w:t>Возможные потери Южного федерального округа к 2020г. (</w:t>
      </w:r>
      <w:proofErr w:type="gramStart"/>
      <w:r w:rsidRPr="00C862F1">
        <w:rPr>
          <w:rFonts w:ascii="Arial" w:hAnsi="Arial" w:cs="Arial"/>
          <w:b/>
          <w:lang w:eastAsia="en-US"/>
        </w:rPr>
        <w:t>в</w:t>
      </w:r>
      <w:proofErr w:type="gramEnd"/>
      <w:r w:rsidRPr="00C862F1">
        <w:rPr>
          <w:rFonts w:ascii="Arial" w:hAnsi="Arial" w:cs="Arial"/>
          <w:b/>
          <w:lang w:eastAsia="en-US"/>
        </w:rPr>
        <w:t xml:space="preserve"> % по каждому субъекту)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1625"/>
        <w:gridCol w:w="2056"/>
        <w:gridCol w:w="2026"/>
        <w:gridCol w:w="1888"/>
        <w:gridCol w:w="1919"/>
        <w:gridCol w:w="2044"/>
        <w:gridCol w:w="1292"/>
      </w:tblGrid>
      <w:tr w:rsidR="00C862F1" w:rsidRPr="00C862F1" w:rsidTr="00A4506B">
        <w:tc>
          <w:tcPr>
            <w:tcW w:w="1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Субъект </w:t>
            </w:r>
          </w:p>
        </w:tc>
        <w:tc>
          <w:tcPr>
            <w:tcW w:w="162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Пищевая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пром-ть</w:t>
            </w:r>
            <w:proofErr w:type="spellEnd"/>
          </w:p>
        </w:tc>
        <w:tc>
          <w:tcPr>
            <w:tcW w:w="205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Растениеводство </w:t>
            </w:r>
          </w:p>
        </w:tc>
        <w:tc>
          <w:tcPr>
            <w:tcW w:w="202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Животноводство</w:t>
            </w: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Производство ТС и оборудования</w:t>
            </w:r>
          </w:p>
        </w:tc>
        <w:tc>
          <w:tcPr>
            <w:tcW w:w="191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Производство машин, оборудования, металлургия</w:t>
            </w:r>
          </w:p>
        </w:tc>
        <w:tc>
          <w:tcPr>
            <w:tcW w:w="204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Лесная обрабатывающая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пром</w:t>
            </w:r>
            <w:proofErr w:type="spellEnd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ть</w:t>
            </w:r>
            <w:proofErr w:type="spellEnd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9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Общие потери млрд.</w:t>
            </w:r>
          </w:p>
        </w:tc>
      </w:tr>
      <w:tr w:rsidR="00C862F1" w:rsidRPr="00C862F1" w:rsidTr="00A4506B">
        <w:tc>
          <w:tcPr>
            <w:tcW w:w="1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Ростовская область</w:t>
            </w:r>
          </w:p>
        </w:tc>
        <w:tc>
          <w:tcPr>
            <w:tcW w:w="162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42% - 45%</w:t>
            </w:r>
          </w:p>
        </w:tc>
        <w:tc>
          <w:tcPr>
            <w:tcW w:w="205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21% - 22%</w:t>
            </w:r>
          </w:p>
        </w:tc>
        <w:tc>
          <w:tcPr>
            <w:tcW w:w="202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41% - 49%</w:t>
            </w: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204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174,4 – 214,30</w:t>
            </w:r>
          </w:p>
        </w:tc>
      </w:tr>
      <w:tr w:rsidR="00C862F1" w:rsidRPr="00C862F1" w:rsidTr="00A4506B">
        <w:tc>
          <w:tcPr>
            <w:tcW w:w="1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Волгоградская область</w:t>
            </w:r>
          </w:p>
        </w:tc>
        <w:tc>
          <w:tcPr>
            <w:tcW w:w="162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28% - 32,5%</w:t>
            </w:r>
          </w:p>
        </w:tc>
        <w:tc>
          <w:tcPr>
            <w:tcW w:w="205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20% - 22,4%</w:t>
            </w:r>
          </w:p>
        </w:tc>
        <w:tc>
          <w:tcPr>
            <w:tcW w:w="202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60,9 – 68,10</w:t>
            </w:r>
          </w:p>
        </w:tc>
      </w:tr>
      <w:tr w:rsidR="00C862F1" w:rsidRPr="00C862F1" w:rsidTr="00A4506B">
        <w:tc>
          <w:tcPr>
            <w:tcW w:w="1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Республика Калмыкия</w:t>
            </w:r>
          </w:p>
        </w:tc>
        <w:tc>
          <w:tcPr>
            <w:tcW w:w="162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7% -10%</w:t>
            </w:r>
          </w:p>
        </w:tc>
        <w:tc>
          <w:tcPr>
            <w:tcW w:w="202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3,2</w:t>
            </w:r>
          </w:p>
        </w:tc>
      </w:tr>
      <w:tr w:rsidR="00C862F1" w:rsidRPr="00C862F1" w:rsidTr="00A4506B">
        <w:tc>
          <w:tcPr>
            <w:tcW w:w="1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Краснодарский край</w:t>
            </w:r>
          </w:p>
        </w:tc>
        <w:tc>
          <w:tcPr>
            <w:tcW w:w="162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34,5% - 36,9%</w:t>
            </w:r>
          </w:p>
        </w:tc>
        <w:tc>
          <w:tcPr>
            <w:tcW w:w="205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23,9% - 28,6%</w:t>
            </w:r>
          </w:p>
        </w:tc>
        <w:tc>
          <w:tcPr>
            <w:tcW w:w="202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19,2% - 27,10%</w:t>
            </w: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160,7 – 170,7</w:t>
            </w:r>
          </w:p>
        </w:tc>
      </w:tr>
      <w:tr w:rsidR="00C862F1" w:rsidRPr="00C862F1" w:rsidTr="00A4506B">
        <w:tc>
          <w:tcPr>
            <w:tcW w:w="1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Республика Адыгея</w:t>
            </w:r>
          </w:p>
        </w:tc>
        <w:tc>
          <w:tcPr>
            <w:tcW w:w="162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31,2% - 36%</w:t>
            </w:r>
          </w:p>
        </w:tc>
        <w:tc>
          <w:tcPr>
            <w:tcW w:w="205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20,4% - 31,4%</w:t>
            </w:r>
          </w:p>
        </w:tc>
        <w:tc>
          <w:tcPr>
            <w:tcW w:w="202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18,9% - 21,1% </w:t>
            </w: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18,9% - 21,1% </w:t>
            </w:r>
          </w:p>
        </w:tc>
        <w:tc>
          <w:tcPr>
            <w:tcW w:w="191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46,4% - 66,8%</w:t>
            </w:r>
          </w:p>
        </w:tc>
        <w:tc>
          <w:tcPr>
            <w:tcW w:w="129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8,32 – 9,92</w:t>
            </w:r>
          </w:p>
        </w:tc>
      </w:tr>
      <w:tr w:rsidR="00C862F1" w:rsidRPr="00C862F1" w:rsidTr="00A4506B">
        <w:trPr>
          <w:trHeight w:val="70"/>
        </w:trPr>
        <w:tc>
          <w:tcPr>
            <w:tcW w:w="1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Астраханская область</w:t>
            </w:r>
          </w:p>
        </w:tc>
        <w:tc>
          <w:tcPr>
            <w:tcW w:w="162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18,7% - 32,6%</w:t>
            </w:r>
          </w:p>
        </w:tc>
        <w:tc>
          <w:tcPr>
            <w:tcW w:w="202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18,2% - 21%</w:t>
            </w:r>
          </w:p>
        </w:tc>
        <w:tc>
          <w:tcPr>
            <w:tcW w:w="18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47,5% - 74,5%</w:t>
            </w:r>
          </w:p>
        </w:tc>
        <w:tc>
          <w:tcPr>
            <w:tcW w:w="191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7,98 – 11,77</w:t>
            </w:r>
          </w:p>
        </w:tc>
      </w:tr>
    </w:tbl>
    <w:p w:rsidR="00C862F1" w:rsidRPr="00C862F1" w:rsidRDefault="00C862F1" w:rsidP="00C862F1">
      <w:pPr>
        <w:spacing w:after="160" w:line="259" w:lineRule="auto"/>
        <w:jc w:val="right"/>
        <w:rPr>
          <w:rFonts w:ascii="Arial" w:hAnsi="Arial" w:cs="Arial"/>
          <w:b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right"/>
        <w:rPr>
          <w:rFonts w:ascii="Arial" w:hAnsi="Arial" w:cs="Arial"/>
          <w:b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right"/>
        <w:rPr>
          <w:rFonts w:ascii="Arial" w:hAnsi="Arial" w:cs="Arial"/>
          <w:b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right"/>
        <w:rPr>
          <w:rFonts w:ascii="Arial" w:hAnsi="Arial" w:cs="Arial"/>
          <w:b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right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br w:type="page"/>
      </w:r>
    </w:p>
    <w:p w:rsidR="00C862F1" w:rsidRPr="00C862F1" w:rsidRDefault="00C862F1" w:rsidP="00C862F1">
      <w:pPr>
        <w:spacing w:after="160" w:line="259" w:lineRule="auto"/>
        <w:jc w:val="right"/>
        <w:rPr>
          <w:rFonts w:ascii="Arial" w:hAnsi="Arial" w:cs="Arial"/>
          <w:b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right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t>Приложение№4</w:t>
      </w: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t>Возможные потери Уральского федерального округа к 2020г. (</w:t>
      </w:r>
      <w:proofErr w:type="gramStart"/>
      <w:r w:rsidRPr="00C862F1">
        <w:rPr>
          <w:rFonts w:ascii="Arial" w:hAnsi="Arial" w:cs="Arial"/>
          <w:b/>
          <w:lang w:eastAsia="en-US"/>
        </w:rPr>
        <w:t>в</w:t>
      </w:r>
      <w:proofErr w:type="gramEnd"/>
      <w:r w:rsidRPr="00C862F1">
        <w:rPr>
          <w:rFonts w:ascii="Arial" w:hAnsi="Arial" w:cs="Arial"/>
          <w:b/>
          <w:lang w:eastAsia="en-US"/>
        </w:rPr>
        <w:t xml:space="preserve"> % по каждому субъекту)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2"/>
        <w:gridCol w:w="1214"/>
        <w:gridCol w:w="1944"/>
        <w:gridCol w:w="2071"/>
        <w:gridCol w:w="1978"/>
        <w:gridCol w:w="1674"/>
        <w:gridCol w:w="1288"/>
        <w:gridCol w:w="2176"/>
        <w:gridCol w:w="1249"/>
      </w:tblGrid>
      <w:tr w:rsidR="00C862F1" w:rsidRPr="00C862F1" w:rsidTr="00A4506B">
        <w:tc>
          <w:tcPr>
            <w:tcW w:w="168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Субъект </w:t>
            </w:r>
          </w:p>
        </w:tc>
        <w:tc>
          <w:tcPr>
            <w:tcW w:w="121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Пищевая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пром-ть</w:t>
            </w:r>
            <w:proofErr w:type="spellEnd"/>
          </w:p>
        </w:tc>
        <w:tc>
          <w:tcPr>
            <w:tcW w:w="194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Животноводство </w:t>
            </w:r>
          </w:p>
        </w:tc>
        <w:tc>
          <w:tcPr>
            <w:tcW w:w="20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Машиностроение, оборудование, металлургия</w:t>
            </w:r>
          </w:p>
        </w:tc>
        <w:tc>
          <w:tcPr>
            <w:tcW w:w="197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Тяжелое и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энерг</w:t>
            </w:r>
            <w:proofErr w:type="spellEnd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. машиностроение</w:t>
            </w:r>
          </w:p>
        </w:tc>
        <w:tc>
          <w:tcPr>
            <w:tcW w:w="16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Производство эл.</w:t>
            </w:r>
          </w:p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оборудования</w:t>
            </w:r>
          </w:p>
        </w:tc>
        <w:tc>
          <w:tcPr>
            <w:tcW w:w="12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21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Фармацевтическая продукция</w:t>
            </w:r>
          </w:p>
        </w:tc>
        <w:tc>
          <w:tcPr>
            <w:tcW w:w="124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Общие потери</w:t>
            </w:r>
          </w:p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Млрд.</w:t>
            </w:r>
          </w:p>
        </w:tc>
      </w:tr>
      <w:tr w:rsidR="00C862F1" w:rsidRPr="00C862F1" w:rsidTr="00A4506B">
        <w:tc>
          <w:tcPr>
            <w:tcW w:w="168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Свердловская область</w:t>
            </w:r>
          </w:p>
        </w:tc>
        <w:tc>
          <w:tcPr>
            <w:tcW w:w="121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76,8% - 91,7%</w:t>
            </w:r>
          </w:p>
        </w:tc>
        <w:tc>
          <w:tcPr>
            <w:tcW w:w="197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6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41,7% - 45,8% </w:t>
            </w:r>
          </w:p>
        </w:tc>
        <w:tc>
          <w:tcPr>
            <w:tcW w:w="12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57,8% - 66,7%</w:t>
            </w:r>
          </w:p>
        </w:tc>
        <w:tc>
          <w:tcPr>
            <w:tcW w:w="124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159,2</w:t>
            </w:r>
          </w:p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163,1-</w:t>
            </w:r>
          </w:p>
        </w:tc>
      </w:tr>
      <w:tr w:rsidR="00C862F1" w:rsidRPr="00C862F1" w:rsidTr="00A4506B">
        <w:tc>
          <w:tcPr>
            <w:tcW w:w="168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Тюменская область</w:t>
            </w:r>
          </w:p>
        </w:tc>
        <w:tc>
          <w:tcPr>
            <w:tcW w:w="12345" w:type="dxa"/>
            <w:gridSpan w:val="7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Субъект занимается добычей полезных ископаемых, нефтепереработкой, нефтехимией,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газохимией</w:t>
            </w:r>
            <w:proofErr w:type="spellEnd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Потери от вступления в ВТО минимальны, в связи с низкой долей импорта/ экспортной ориентацией/ значительным </w:t>
            </w:r>
            <w:proofErr w:type="gramEnd"/>
          </w:p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объемом инвестиций в развитие и модернизацию производства за последние 5 лет.</w:t>
            </w:r>
            <w:proofErr w:type="gramEnd"/>
          </w:p>
        </w:tc>
        <w:tc>
          <w:tcPr>
            <w:tcW w:w="124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98 - 100</w:t>
            </w:r>
          </w:p>
        </w:tc>
      </w:tr>
      <w:tr w:rsidR="00C862F1" w:rsidRPr="00C862F1" w:rsidTr="00A4506B">
        <w:tc>
          <w:tcPr>
            <w:tcW w:w="168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Курганская область</w:t>
            </w:r>
          </w:p>
        </w:tc>
        <w:tc>
          <w:tcPr>
            <w:tcW w:w="121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49,9%- 75,8%</w:t>
            </w:r>
          </w:p>
        </w:tc>
        <w:tc>
          <w:tcPr>
            <w:tcW w:w="20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97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21,9% - 25,1%</w:t>
            </w:r>
          </w:p>
        </w:tc>
        <w:tc>
          <w:tcPr>
            <w:tcW w:w="12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66,7% - 73,6</w:t>
            </w:r>
          </w:p>
        </w:tc>
        <w:tc>
          <w:tcPr>
            <w:tcW w:w="124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33,4-34,0</w:t>
            </w:r>
          </w:p>
        </w:tc>
      </w:tr>
      <w:tr w:rsidR="00C862F1" w:rsidRPr="00C862F1" w:rsidTr="00A4506B">
        <w:tc>
          <w:tcPr>
            <w:tcW w:w="168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Челябинская область</w:t>
            </w:r>
          </w:p>
        </w:tc>
        <w:tc>
          <w:tcPr>
            <w:tcW w:w="121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10% - 11%</w:t>
            </w:r>
          </w:p>
        </w:tc>
        <w:tc>
          <w:tcPr>
            <w:tcW w:w="194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17% - 20%</w:t>
            </w:r>
          </w:p>
        </w:tc>
        <w:tc>
          <w:tcPr>
            <w:tcW w:w="207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88% - 92%</w:t>
            </w:r>
          </w:p>
        </w:tc>
        <w:tc>
          <w:tcPr>
            <w:tcW w:w="197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20% - 22%</w:t>
            </w:r>
          </w:p>
        </w:tc>
        <w:tc>
          <w:tcPr>
            <w:tcW w:w="128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167,7</w:t>
            </w:r>
          </w:p>
        </w:tc>
      </w:tr>
      <w:tr w:rsidR="00C862F1" w:rsidRPr="00C862F1" w:rsidTr="00A4506B">
        <w:tc>
          <w:tcPr>
            <w:tcW w:w="168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Ямало</w:t>
            </w:r>
            <w:proofErr w:type="spellEnd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–Н</w:t>
            </w:r>
            <w:proofErr w:type="gramEnd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енецкий автономный округ</w:t>
            </w:r>
          </w:p>
        </w:tc>
        <w:tc>
          <w:tcPr>
            <w:tcW w:w="12345" w:type="dxa"/>
            <w:gridSpan w:val="7"/>
            <w:vMerge w:val="restart"/>
          </w:tcPr>
          <w:p w:rsidR="00C862F1" w:rsidRPr="00C862F1" w:rsidRDefault="00C862F1" w:rsidP="00C862F1">
            <w:pPr>
              <w:spacing w:line="360" w:lineRule="auto"/>
              <w:ind w:firstLine="44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Негативное влияние ВТО на добычу полезных ископаемых минимально в связи с низкой</w:t>
            </w:r>
          </w:p>
          <w:p w:rsidR="00C862F1" w:rsidRPr="00C862F1" w:rsidRDefault="00C862F1" w:rsidP="00C862F1">
            <w:pPr>
              <w:spacing w:line="360" w:lineRule="auto"/>
              <w:ind w:firstLine="44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долей импорта/ экспортной ориентацией, значительным объемом инвестиций в развитие и</w:t>
            </w:r>
          </w:p>
          <w:p w:rsidR="00C862F1" w:rsidRPr="00C862F1" w:rsidRDefault="00C862F1" w:rsidP="00C862F1">
            <w:pPr>
              <w:spacing w:line="360" w:lineRule="auto"/>
              <w:ind w:firstLine="44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модернизацию производства за последние 5 лет.</w:t>
            </w:r>
            <w:proofErr w:type="gramEnd"/>
          </w:p>
        </w:tc>
        <w:tc>
          <w:tcPr>
            <w:tcW w:w="124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23-25,5</w:t>
            </w:r>
          </w:p>
        </w:tc>
      </w:tr>
      <w:tr w:rsidR="00C862F1" w:rsidRPr="00C862F1" w:rsidTr="00A4506B">
        <w:tc>
          <w:tcPr>
            <w:tcW w:w="168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Ханты-Мансийский автономный округ</w:t>
            </w:r>
          </w:p>
        </w:tc>
        <w:tc>
          <w:tcPr>
            <w:tcW w:w="12345" w:type="dxa"/>
            <w:gridSpan w:val="7"/>
            <w:vMerge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24,7-27,1</w:t>
            </w:r>
          </w:p>
        </w:tc>
      </w:tr>
    </w:tbl>
    <w:p w:rsidR="00C862F1" w:rsidRPr="00C862F1" w:rsidRDefault="00C862F1" w:rsidP="00C862F1">
      <w:pPr>
        <w:spacing w:after="160" w:line="259" w:lineRule="auto"/>
        <w:rPr>
          <w:rFonts w:ascii="Arial" w:hAnsi="Arial" w:cs="Arial"/>
          <w:b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br w:type="page"/>
      </w:r>
    </w:p>
    <w:p w:rsidR="00C862F1" w:rsidRPr="00C862F1" w:rsidRDefault="00C862F1" w:rsidP="00C862F1">
      <w:pPr>
        <w:spacing w:after="160" w:line="259" w:lineRule="auto"/>
        <w:jc w:val="right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lastRenderedPageBreak/>
        <w:t>Приложение№5</w:t>
      </w: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t xml:space="preserve">Возможные потери </w:t>
      </w:r>
      <w:proofErr w:type="gramStart"/>
      <w:r w:rsidRPr="00C862F1">
        <w:rPr>
          <w:rFonts w:ascii="Arial" w:hAnsi="Arial" w:cs="Arial"/>
          <w:b/>
          <w:lang w:eastAsia="en-US"/>
        </w:rPr>
        <w:t>Дальне-Восточный</w:t>
      </w:r>
      <w:proofErr w:type="gramEnd"/>
      <w:r w:rsidRPr="00C862F1">
        <w:rPr>
          <w:rFonts w:ascii="Arial" w:hAnsi="Arial" w:cs="Arial"/>
          <w:b/>
          <w:lang w:eastAsia="en-US"/>
        </w:rPr>
        <w:t xml:space="preserve"> федерального округа к 2020г. (в % по каждому субъекту)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1154"/>
        <w:gridCol w:w="2062"/>
        <w:gridCol w:w="1872"/>
        <w:gridCol w:w="2032"/>
        <w:gridCol w:w="1615"/>
        <w:gridCol w:w="1994"/>
        <w:gridCol w:w="1580"/>
        <w:gridCol w:w="936"/>
      </w:tblGrid>
      <w:tr w:rsidR="00C862F1" w:rsidRPr="00C862F1" w:rsidTr="00A4506B">
        <w:tc>
          <w:tcPr>
            <w:tcW w:w="154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Субъект </w:t>
            </w:r>
          </w:p>
        </w:tc>
        <w:tc>
          <w:tcPr>
            <w:tcW w:w="115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Пищевая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пром-ть</w:t>
            </w:r>
            <w:proofErr w:type="spellEnd"/>
          </w:p>
        </w:tc>
        <w:tc>
          <w:tcPr>
            <w:tcW w:w="206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Машиностроение, оборудование,</w:t>
            </w:r>
          </w:p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металлургия</w:t>
            </w:r>
          </w:p>
        </w:tc>
        <w:tc>
          <w:tcPr>
            <w:tcW w:w="187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Тяжелое и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энерг</w:t>
            </w:r>
            <w:proofErr w:type="spellEnd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. машиностроение</w:t>
            </w:r>
          </w:p>
        </w:tc>
        <w:tc>
          <w:tcPr>
            <w:tcW w:w="203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Животноводство</w:t>
            </w:r>
          </w:p>
        </w:tc>
        <w:tc>
          <w:tcPr>
            <w:tcW w:w="161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Фамацефтич</w:t>
            </w:r>
            <w:proofErr w:type="spellEnd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. производство</w:t>
            </w:r>
          </w:p>
        </w:tc>
        <w:tc>
          <w:tcPr>
            <w:tcW w:w="199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Растениеводство </w:t>
            </w:r>
          </w:p>
        </w:tc>
        <w:tc>
          <w:tcPr>
            <w:tcW w:w="158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Рыболовство</w:t>
            </w:r>
          </w:p>
        </w:tc>
        <w:tc>
          <w:tcPr>
            <w:tcW w:w="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Общие потери млрд.</w:t>
            </w:r>
          </w:p>
        </w:tc>
      </w:tr>
      <w:tr w:rsidR="00C862F1" w:rsidRPr="00C862F1" w:rsidTr="00A4506B">
        <w:tc>
          <w:tcPr>
            <w:tcW w:w="154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Республика Саха (Якутия)</w:t>
            </w:r>
          </w:p>
        </w:tc>
        <w:tc>
          <w:tcPr>
            <w:tcW w:w="115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92% - 96%</w:t>
            </w:r>
          </w:p>
        </w:tc>
        <w:tc>
          <w:tcPr>
            <w:tcW w:w="187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203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9,9 – 11,4</w:t>
            </w:r>
          </w:p>
        </w:tc>
      </w:tr>
      <w:tr w:rsidR="00C862F1" w:rsidRPr="00C862F1" w:rsidTr="00A4506B">
        <w:tc>
          <w:tcPr>
            <w:tcW w:w="154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Чукотский автономный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окргуг</w:t>
            </w:r>
            <w:proofErr w:type="spellEnd"/>
          </w:p>
        </w:tc>
        <w:tc>
          <w:tcPr>
            <w:tcW w:w="12309" w:type="dxa"/>
            <w:gridSpan w:val="7"/>
          </w:tcPr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Ожидаемо некоторое снижение объемов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производства (до 10-15%) вследствие сокращения объема промышленного производства 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0,7 – 1,2</w:t>
            </w:r>
          </w:p>
        </w:tc>
      </w:tr>
      <w:tr w:rsidR="00C862F1" w:rsidRPr="00C862F1" w:rsidTr="00A4506B">
        <w:tc>
          <w:tcPr>
            <w:tcW w:w="154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Магаданская область</w:t>
            </w:r>
          </w:p>
        </w:tc>
        <w:tc>
          <w:tcPr>
            <w:tcW w:w="10729" w:type="dxa"/>
            <w:gridSpan w:val="6"/>
          </w:tcPr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Негативное влияние ВТО на нефтепереработку, нефтехимию и химию, металлургию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минимально в связи с экспортной ориентацией и значительными инвестициями в развитие и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модернизацию производства за последние 5 лет.</w:t>
            </w:r>
            <w:proofErr w:type="gramEnd"/>
          </w:p>
        </w:tc>
        <w:tc>
          <w:tcPr>
            <w:tcW w:w="158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40,5% - 41,3%</w:t>
            </w:r>
          </w:p>
        </w:tc>
        <w:tc>
          <w:tcPr>
            <w:tcW w:w="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2,5 – 2,8</w:t>
            </w:r>
          </w:p>
        </w:tc>
      </w:tr>
      <w:tr w:rsidR="00C862F1" w:rsidRPr="00C862F1" w:rsidTr="00A4506B">
        <w:tc>
          <w:tcPr>
            <w:tcW w:w="154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Корякский автономный округ</w:t>
            </w:r>
          </w:p>
        </w:tc>
        <w:tc>
          <w:tcPr>
            <w:tcW w:w="115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10,95% - 13,74%</w:t>
            </w:r>
          </w:p>
        </w:tc>
        <w:tc>
          <w:tcPr>
            <w:tcW w:w="7581" w:type="dxa"/>
            <w:gridSpan w:val="4"/>
          </w:tcPr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Негативное влияние ВТО на нефтепереработку, нефтехимию и химию, металлургию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минимально в связи с экспортной ориентацией и значительными инвестициями в развитие и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модернизацию производства за последние 5 лет.</w:t>
            </w:r>
            <w:proofErr w:type="gramEnd"/>
          </w:p>
        </w:tc>
        <w:tc>
          <w:tcPr>
            <w:tcW w:w="199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41,3% - 47,8%</w:t>
            </w:r>
          </w:p>
        </w:tc>
        <w:tc>
          <w:tcPr>
            <w:tcW w:w="158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19,6% - 23,40</w:t>
            </w:r>
          </w:p>
        </w:tc>
      </w:tr>
      <w:tr w:rsidR="00C862F1" w:rsidRPr="00C862F1" w:rsidTr="00A4506B">
        <w:tc>
          <w:tcPr>
            <w:tcW w:w="154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Хабаровский край</w:t>
            </w:r>
          </w:p>
        </w:tc>
        <w:tc>
          <w:tcPr>
            <w:tcW w:w="115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26,7%- 34,10%</w:t>
            </w:r>
          </w:p>
        </w:tc>
        <w:tc>
          <w:tcPr>
            <w:tcW w:w="206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22% - 27%</w:t>
            </w:r>
          </w:p>
        </w:tc>
        <w:tc>
          <w:tcPr>
            <w:tcW w:w="187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46,5% 0 66,7%</w:t>
            </w:r>
          </w:p>
        </w:tc>
        <w:tc>
          <w:tcPr>
            <w:tcW w:w="199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41,3%</w:t>
            </w:r>
          </w:p>
        </w:tc>
        <w:tc>
          <w:tcPr>
            <w:tcW w:w="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34,2 - 38</w:t>
            </w:r>
          </w:p>
        </w:tc>
      </w:tr>
      <w:tr w:rsidR="00C862F1" w:rsidRPr="00C862F1" w:rsidTr="00A4506B">
        <w:tc>
          <w:tcPr>
            <w:tcW w:w="154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Амурская область</w:t>
            </w:r>
          </w:p>
        </w:tc>
        <w:tc>
          <w:tcPr>
            <w:tcW w:w="115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31% - 34%</w:t>
            </w:r>
          </w:p>
        </w:tc>
        <w:tc>
          <w:tcPr>
            <w:tcW w:w="206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16,9% - 17,4%</w:t>
            </w:r>
          </w:p>
        </w:tc>
        <w:tc>
          <w:tcPr>
            <w:tcW w:w="158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14- 17,60</w:t>
            </w:r>
          </w:p>
        </w:tc>
      </w:tr>
      <w:tr w:rsidR="00C862F1" w:rsidRPr="00C862F1" w:rsidTr="00A4506B">
        <w:tc>
          <w:tcPr>
            <w:tcW w:w="154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Приморский край</w:t>
            </w:r>
          </w:p>
        </w:tc>
        <w:tc>
          <w:tcPr>
            <w:tcW w:w="115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37,4% - 41,30%</w:t>
            </w:r>
          </w:p>
        </w:tc>
        <w:tc>
          <w:tcPr>
            <w:tcW w:w="206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31,8% - 44,6%</w:t>
            </w:r>
          </w:p>
        </w:tc>
        <w:tc>
          <w:tcPr>
            <w:tcW w:w="187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11,7% – 14,2%</w:t>
            </w:r>
          </w:p>
        </w:tc>
        <w:tc>
          <w:tcPr>
            <w:tcW w:w="199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39,2% - 41,30</w:t>
            </w:r>
          </w:p>
        </w:tc>
        <w:tc>
          <w:tcPr>
            <w:tcW w:w="158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72,7-77,4</w:t>
            </w:r>
          </w:p>
        </w:tc>
      </w:tr>
      <w:tr w:rsidR="00C862F1" w:rsidRPr="00C862F1" w:rsidTr="00A4506B">
        <w:tc>
          <w:tcPr>
            <w:tcW w:w="154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Еврейская автономная область</w:t>
            </w:r>
          </w:p>
        </w:tc>
        <w:tc>
          <w:tcPr>
            <w:tcW w:w="115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19,7% - 25%</w:t>
            </w:r>
          </w:p>
        </w:tc>
        <w:tc>
          <w:tcPr>
            <w:tcW w:w="161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0,11% – 0,16%</w:t>
            </w:r>
          </w:p>
        </w:tc>
        <w:tc>
          <w:tcPr>
            <w:tcW w:w="199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16,2% - 17%</w:t>
            </w:r>
          </w:p>
        </w:tc>
        <w:tc>
          <w:tcPr>
            <w:tcW w:w="158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3,1 – 3,4</w:t>
            </w:r>
          </w:p>
        </w:tc>
      </w:tr>
      <w:tr w:rsidR="00C862F1" w:rsidRPr="00C862F1" w:rsidTr="00A4506B">
        <w:tc>
          <w:tcPr>
            <w:tcW w:w="154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Сахалинская область</w:t>
            </w:r>
          </w:p>
        </w:tc>
        <w:tc>
          <w:tcPr>
            <w:tcW w:w="12309" w:type="dxa"/>
            <w:gridSpan w:val="7"/>
          </w:tcPr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Негативное влияние ВТО на нефтепереработку, нефтехимию и химию, металлургию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минимально в связи с экспортной ориентацией и значительными инвестициями в развитие и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модернизацию производства за последние 5 лет.</w:t>
            </w:r>
            <w:proofErr w:type="gramEnd"/>
          </w:p>
        </w:tc>
        <w:tc>
          <w:tcPr>
            <w:tcW w:w="93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21.3 – 21,4</w:t>
            </w:r>
          </w:p>
        </w:tc>
      </w:tr>
    </w:tbl>
    <w:p w:rsidR="00C862F1" w:rsidRPr="00C862F1" w:rsidRDefault="00C862F1" w:rsidP="00C862F1">
      <w:pPr>
        <w:spacing w:after="160" w:line="259" w:lineRule="auto"/>
        <w:rPr>
          <w:rFonts w:ascii="Arial" w:hAnsi="Arial" w:cs="Arial"/>
          <w:sz w:val="28"/>
          <w:szCs w:val="28"/>
          <w:lang w:eastAsia="en-US"/>
        </w:rPr>
      </w:pPr>
    </w:p>
    <w:p w:rsidR="00C862F1" w:rsidRPr="00C862F1" w:rsidRDefault="00C862F1" w:rsidP="00C862F1">
      <w:pPr>
        <w:spacing w:after="160" w:line="259" w:lineRule="auto"/>
        <w:rPr>
          <w:rFonts w:ascii="Arial" w:hAnsi="Arial" w:cs="Arial"/>
          <w:sz w:val="28"/>
          <w:szCs w:val="28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right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t>Приложение№6</w:t>
      </w: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t>Возможные потери Сибирскому федерального округа к 2020г. (</w:t>
      </w:r>
      <w:proofErr w:type="gramStart"/>
      <w:r w:rsidRPr="00C862F1">
        <w:rPr>
          <w:rFonts w:ascii="Arial" w:hAnsi="Arial" w:cs="Arial"/>
          <w:b/>
          <w:lang w:eastAsia="en-US"/>
        </w:rPr>
        <w:t>в</w:t>
      </w:r>
      <w:proofErr w:type="gramEnd"/>
      <w:r w:rsidRPr="00C862F1">
        <w:rPr>
          <w:rFonts w:ascii="Arial" w:hAnsi="Arial" w:cs="Arial"/>
          <w:b/>
          <w:lang w:eastAsia="en-US"/>
        </w:rPr>
        <w:t xml:space="preserve"> % по каждому субъекту)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1506"/>
        <w:gridCol w:w="1470"/>
        <w:gridCol w:w="1783"/>
        <w:gridCol w:w="60"/>
        <w:gridCol w:w="987"/>
        <w:gridCol w:w="1423"/>
        <w:gridCol w:w="1843"/>
        <w:gridCol w:w="1842"/>
        <w:gridCol w:w="1070"/>
      </w:tblGrid>
      <w:tr w:rsidR="00C862F1" w:rsidRPr="00C862F1" w:rsidTr="00A4506B">
        <w:tc>
          <w:tcPr>
            <w:tcW w:w="166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Субъект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Произв. готовых металл</w:t>
            </w:r>
            <w:proofErr w:type="gram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proofErr w:type="gramEnd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зделий</w:t>
            </w:r>
          </w:p>
        </w:tc>
        <w:tc>
          <w:tcPr>
            <w:tcW w:w="150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Тяжелое и </w:t>
            </w:r>
            <w:proofErr w:type="spell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энергетич</w:t>
            </w:r>
            <w:proofErr w:type="spellEnd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. машиностроение</w:t>
            </w:r>
          </w:p>
        </w:tc>
        <w:tc>
          <w:tcPr>
            <w:tcW w:w="14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Лесная обрабатывающая </w:t>
            </w:r>
            <w:proofErr w:type="spell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пром-ть</w:t>
            </w:r>
            <w:proofErr w:type="spellEnd"/>
          </w:p>
        </w:tc>
        <w:tc>
          <w:tcPr>
            <w:tcW w:w="17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Цюллелозно</w:t>
            </w:r>
            <w:proofErr w:type="spellEnd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-бумажная </w:t>
            </w:r>
          </w:p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Пром-ть</w:t>
            </w:r>
            <w:proofErr w:type="spellEnd"/>
          </w:p>
        </w:tc>
        <w:tc>
          <w:tcPr>
            <w:tcW w:w="1047" w:type="dxa"/>
            <w:gridSpan w:val="2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Пищевая </w:t>
            </w:r>
            <w:proofErr w:type="spell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пром-ть</w:t>
            </w:r>
            <w:proofErr w:type="spellEnd"/>
          </w:p>
        </w:tc>
        <w:tc>
          <w:tcPr>
            <w:tcW w:w="142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Животноводство </w:t>
            </w:r>
          </w:p>
        </w:tc>
        <w:tc>
          <w:tcPr>
            <w:tcW w:w="184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Растениеводство</w:t>
            </w:r>
          </w:p>
        </w:tc>
        <w:tc>
          <w:tcPr>
            <w:tcW w:w="184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Машиностроение</w:t>
            </w:r>
          </w:p>
        </w:tc>
        <w:tc>
          <w:tcPr>
            <w:tcW w:w="10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Общие потери млрд.</w:t>
            </w:r>
          </w:p>
        </w:tc>
      </w:tr>
      <w:tr w:rsidR="00C862F1" w:rsidRPr="00C862F1" w:rsidTr="00A4506B">
        <w:tc>
          <w:tcPr>
            <w:tcW w:w="166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Забайкальский край</w:t>
            </w:r>
          </w:p>
        </w:tc>
        <w:tc>
          <w:tcPr>
            <w:tcW w:w="6940" w:type="dxa"/>
            <w:gridSpan w:val="6"/>
          </w:tcPr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Негативное влияние ВТО на добычу полезных ископаемых минимально в связи с низкой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экспортной ориентацией и значительным объемом инвестиций в развитие и модернизацию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производства за последние 5 лет.</w:t>
            </w:r>
            <w:proofErr w:type="gramEnd"/>
          </w:p>
        </w:tc>
        <w:tc>
          <w:tcPr>
            <w:tcW w:w="142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29,4% - 25,10</w:t>
            </w:r>
          </w:p>
        </w:tc>
        <w:tc>
          <w:tcPr>
            <w:tcW w:w="184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6,3 – 6,4</w:t>
            </w:r>
          </w:p>
        </w:tc>
      </w:tr>
      <w:tr w:rsidR="00C862F1" w:rsidRPr="00C862F1" w:rsidTr="00A4506B">
        <w:tc>
          <w:tcPr>
            <w:tcW w:w="166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Республика Бурятия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2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24%-20,8%</w:t>
            </w:r>
          </w:p>
        </w:tc>
        <w:tc>
          <w:tcPr>
            <w:tcW w:w="184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21,8 5- 25%</w:t>
            </w:r>
          </w:p>
        </w:tc>
        <w:tc>
          <w:tcPr>
            <w:tcW w:w="10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19,6-19,1</w:t>
            </w:r>
          </w:p>
        </w:tc>
      </w:tr>
      <w:tr w:rsidR="00C862F1" w:rsidRPr="00C862F1" w:rsidTr="00A4506B">
        <w:tc>
          <w:tcPr>
            <w:tcW w:w="166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Иркутская область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41% - 42%</w:t>
            </w:r>
          </w:p>
        </w:tc>
        <w:tc>
          <w:tcPr>
            <w:tcW w:w="17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55% - 56%</w:t>
            </w:r>
          </w:p>
        </w:tc>
        <w:tc>
          <w:tcPr>
            <w:tcW w:w="1047" w:type="dxa"/>
            <w:gridSpan w:val="2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34% - 38,4</w:t>
            </w:r>
          </w:p>
        </w:tc>
        <w:tc>
          <w:tcPr>
            <w:tcW w:w="142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54,4% – 86,7%</w:t>
            </w:r>
          </w:p>
        </w:tc>
        <w:tc>
          <w:tcPr>
            <w:tcW w:w="184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86,8 – 99,30</w:t>
            </w:r>
          </w:p>
        </w:tc>
      </w:tr>
      <w:tr w:rsidR="00C862F1" w:rsidRPr="00C862F1" w:rsidTr="00A4506B">
        <w:tc>
          <w:tcPr>
            <w:tcW w:w="166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Республика Тыва</w:t>
            </w:r>
          </w:p>
        </w:tc>
        <w:tc>
          <w:tcPr>
            <w:tcW w:w="6940" w:type="dxa"/>
            <w:gridSpan w:val="6"/>
          </w:tcPr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Негативное влияние ВТО на добычу полезных ископаемых минимально в связи с низкой долей импорта, экспортной ориентацией,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значительным объемом инвестиций в развитие и модернизацию производства за последние 5 лет</w:t>
            </w:r>
            <w:proofErr w:type="gramEnd"/>
          </w:p>
        </w:tc>
        <w:tc>
          <w:tcPr>
            <w:tcW w:w="142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20,25 – 27,3%</w:t>
            </w:r>
          </w:p>
        </w:tc>
        <w:tc>
          <w:tcPr>
            <w:tcW w:w="184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0,69 – 0,89</w:t>
            </w:r>
          </w:p>
        </w:tc>
      </w:tr>
      <w:tr w:rsidR="00C862F1" w:rsidRPr="00C862F1" w:rsidTr="00A4506B">
        <w:tc>
          <w:tcPr>
            <w:tcW w:w="166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Красноярский край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65% - 68%</w:t>
            </w:r>
          </w:p>
        </w:tc>
        <w:tc>
          <w:tcPr>
            <w:tcW w:w="150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89% - 91%</w:t>
            </w:r>
          </w:p>
        </w:tc>
        <w:tc>
          <w:tcPr>
            <w:tcW w:w="9408" w:type="dxa"/>
            <w:gridSpan w:val="7"/>
          </w:tcPr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Негативное влияние ВТО на металлургию и добычу полезных ископаемых минимально в связи с экспортной ориентацией и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значительными инвестициями в развитие и модернизацию производства за последние 5 лет.</w:t>
            </w:r>
            <w:proofErr w:type="gramEnd"/>
          </w:p>
        </w:tc>
        <w:tc>
          <w:tcPr>
            <w:tcW w:w="10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1,9 – 2,4</w:t>
            </w:r>
          </w:p>
        </w:tc>
      </w:tr>
      <w:tr w:rsidR="00C862F1" w:rsidRPr="00C862F1" w:rsidTr="00A4506B">
        <w:tc>
          <w:tcPr>
            <w:tcW w:w="166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Томская область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2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29,9% - 34,6%</w:t>
            </w:r>
          </w:p>
        </w:tc>
        <w:tc>
          <w:tcPr>
            <w:tcW w:w="142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37,3% -45,6%</w:t>
            </w:r>
          </w:p>
        </w:tc>
        <w:tc>
          <w:tcPr>
            <w:tcW w:w="10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34% - 39,4</w:t>
            </w:r>
          </w:p>
        </w:tc>
      </w:tr>
      <w:tr w:rsidR="00C862F1" w:rsidRPr="00C862F1" w:rsidTr="00A4506B">
        <w:tc>
          <w:tcPr>
            <w:tcW w:w="166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Омская область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2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26,7% - 28,10%</w:t>
            </w:r>
          </w:p>
        </w:tc>
        <w:tc>
          <w:tcPr>
            <w:tcW w:w="142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22,4% - 23,5%</w:t>
            </w:r>
          </w:p>
        </w:tc>
        <w:tc>
          <w:tcPr>
            <w:tcW w:w="184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64,3% - 76,8%</w:t>
            </w:r>
          </w:p>
        </w:tc>
        <w:tc>
          <w:tcPr>
            <w:tcW w:w="10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35,2-36,9</w:t>
            </w:r>
          </w:p>
        </w:tc>
      </w:tr>
      <w:tr w:rsidR="00C862F1" w:rsidRPr="00C862F1" w:rsidTr="00A4506B">
        <w:tc>
          <w:tcPr>
            <w:tcW w:w="166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Новосибирская область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2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32,7% - 35,4%</w:t>
            </w:r>
          </w:p>
        </w:tc>
        <w:tc>
          <w:tcPr>
            <w:tcW w:w="142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23,2% - 24,3%</w:t>
            </w:r>
          </w:p>
        </w:tc>
        <w:tc>
          <w:tcPr>
            <w:tcW w:w="184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18,6% - 26,4%</w:t>
            </w:r>
          </w:p>
        </w:tc>
        <w:tc>
          <w:tcPr>
            <w:tcW w:w="184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43,7 – 47,52</w:t>
            </w:r>
          </w:p>
        </w:tc>
      </w:tr>
      <w:tr w:rsidR="00C862F1" w:rsidRPr="00C862F1" w:rsidTr="00A4506B">
        <w:tc>
          <w:tcPr>
            <w:tcW w:w="166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Алтайский край</w:t>
            </w:r>
          </w:p>
        </w:tc>
        <w:tc>
          <w:tcPr>
            <w:tcW w:w="5953" w:type="dxa"/>
            <w:gridSpan w:val="5"/>
          </w:tcPr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Негативное влияние ВТО на нефтепереработку, нефтехимию и </w:t>
            </w:r>
            <w:proofErr w:type="spell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газохимию</w:t>
            </w:r>
            <w:proofErr w:type="spellEnd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минимально в связи с низкой долей импорта, экспортной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ориентацией и значительным объемом инвестиций в развитие и модернизацию производства за последние 5 лет.</w:t>
            </w:r>
            <w:proofErr w:type="gramEnd"/>
          </w:p>
        </w:tc>
        <w:tc>
          <w:tcPr>
            <w:tcW w:w="987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22,7% - 24,1%</w:t>
            </w:r>
          </w:p>
        </w:tc>
        <w:tc>
          <w:tcPr>
            <w:tcW w:w="142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23,6% - 24,3%</w:t>
            </w:r>
          </w:p>
        </w:tc>
        <w:tc>
          <w:tcPr>
            <w:tcW w:w="184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18,6% - 26,4%</w:t>
            </w:r>
          </w:p>
        </w:tc>
        <w:tc>
          <w:tcPr>
            <w:tcW w:w="184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22,5% - 26,9%</w:t>
            </w:r>
          </w:p>
        </w:tc>
        <w:tc>
          <w:tcPr>
            <w:tcW w:w="10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43,7 – 47,52</w:t>
            </w:r>
          </w:p>
        </w:tc>
      </w:tr>
      <w:tr w:rsidR="00C862F1" w:rsidRPr="00C862F1" w:rsidTr="00A4506B">
        <w:tc>
          <w:tcPr>
            <w:tcW w:w="166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Республика Алтай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gridSpan w:val="2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19% - 23%</w:t>
            </w:r>
          </w:p>
        </w:tc>
        <w:tc>
          <w:tcPr>
            <w:tcW w:w="184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13,2% - 16,8%</w:t>
            </w:r>
          </w:p>
        </w:tc>
        <w:tc>
          <w:tcPr>
            <w:tcW w:w="184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1,21 – 1,43</w:t>
            </w:r>
          </w:p>
        </w:tc>
      </w:tr>
      <w:tr w:rsidR="00C862F1" w:rsidRPr="00C862F1" w:rsidTr="00A4506B">
        <w:tc>
          <w:tcPr>
            <w:tcW w:w="166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Республика Хакасия</w:t>
            </w:r>
          </w:p>
        </w:tc>
        <w:tc>
          <w:tcPr>
            <w:tcW w:w="5893" w:type="dxa"/>
            <w:gridSpan w:val="4"/>
          </w:tcPr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Негативное влияние ВТО на металлургическое производство, добычу полезных ископаемых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минимально в связи с экспортной ориентацией и значительным объемом инвестиций </w:t>
            </w:r>
            <w:proofErr w:type="gram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proofErr w:type="gramEnd"/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развитие и модернизацию производства за последние 5 лет.</w:t>
            </w:r>
            <w:proofErr w:type="gramEnd"/>
          </w:p>
        </w:tc>
        <w:tc>
          <w:tcPr>
            <w:tcW w:w="1047" w:type="dxa"/>
            <w:gridSpan w:val="2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34,4% - 36,4%</w:t>
            </w:r>
          </w:p>
        </w:tc>
        <w:tc>
          <w:tcPr>
            <w:tcW w:w="142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9,5 – 10,2</w:t>
            </w:r>
          </w:p>
        </w:tc>
      </w:tr>
      <w:tr w:rsidR="00C862F1" w:rsidRPr="00C862F1" w:rsidTr="00A4506B">
        <w:tc>
          <w:tcPr>
            <w:tcW w:w="1668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Кемеровская область</w:t>
            </w:r>
          </w:p>
        </w:tc>
        <w:tc>
          <w:tcPr>
            <w:tcW w:w="6940" w:type="dxa"/>
            <w:gridSpan w:val="6"/>
          </w:tcPr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Негативное влияние ВТО на добычу полезных ископаемых, металлургическое производство,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нефтепереработку, нефтехимию и </w:t>
            </w:r>
            <w:proofErr w:type="spell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газохимию</w:t>
            </w:r>
            <w:proofErr w:type="spellEnd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минимально в связи с экспортной ориентацией и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значительным объемом инвестиций в развитие и модернизацию производства </w:t>
            </w:r>
            <w:proofErr w:type="gram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за</w:t>
            </w:r>
            <w:proofErr w:type="gramEnd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последние 5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лет.</w:t>
            </w:r>
          </w:p>
        </w:tc>
        <w:tc>
          <w:tcPr>
            <w:tcW w:w="142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25% - 26%</w:t>
            </w:r>
          </w:p>
        </w:tc>
        <w:tc>
          <w:tcPr>
            <w:tcW w:w="184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58,3 – 69,10</w:t>
            </w:r>
          </w:p>
        </w:tc>
      </w:tr>
    </w:tbl>
    <w:p w:rsidR="00C862F1" w:rsidRPr="00C862F1" w:rsidRDefault="00C862F1" w:rsidP="00C862F1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rPr>
          <w:rFonts w:ascii="Arial" w:hAnsi="Arial" w:cs="Arial"/>
          <w:lang w:eastAsia="en-US"/>
        </w:rPr>
      </w:pPr>
      <w:r w:rsidRPr="00C862F1">
        <w:rPr>
          <w:rFonts w:ascii="Arial" w:hAnsi="Arial" w:cs="Arial"/>
          <w:lang w:eastAsia="en-US"/>
        </w:rPr>
        <w:br w:type="page"/>
      </w:r>
    </w:p>
    <w:p w:rsidR="00C862F1" w:rsidRPr="00C862F1" w:rsidRDefault="00C862F1" w:rsidP="00C862F1">
      <w:pPr>
        <w:spacing w:after="160" w:line="259" w:lineRule="auto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right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t>Приложение№7</w:t>
      </w: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t>Возможные потери Приволжского федерального округа к 2020г. (</w:t>
      </w:r>
      <w:proofErr w:type="gramStart"/>
      <w:r w:rsidRPr="00C862F1">
        <w:rPr>
          <w:rFonts w:ascii="Arial" w:hAnsi="Arial" w:cs="Arial"/>
          <w:b/>
          <w:lang w:eastAsia="en-US"/>
        </w:rPr>
        <w:t>в</w:t>
      </w:r>
      <w:proofErr w:type="gramEnd"/>
      <w:r w:rsidRPr="00C862F1">
        <w:rPr>
          <w:rFonts w:ascii="Arial" w:hAnsi="Arial" w:cs="Arial"/>
          <w:b/>
          <w:lang w:eastAsia="en-US"/>
        </w:rPr>
        <w:t xml:space="preserve"> % по каждому субъекту)</w:t>
      </w: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1385"/>
        <w:gridCol w:w="1134"/>
        <w:gridCol w:w="1985"/>
        <w:gridCol w:w="1984"/>
        <w:gridCol w:w="1076"/>
        <w:gridCol w:w="1529"/>
        <w:gridCol w:w="1199"/>
        <w:gridCol w:w="1055"/>
        <w:gridCol w:w="853"/>
        <w:gridCol w:w="1503"/>
        <w:gridCol w:w="874"/>
      </w:tblGrid>
      <w:tr w:rsidR="00C862F1" w:rsidRPr="00C862F1" w:rsidTr="00A4506B">
        <w:tc>
          <w:tcPr>
            <w:tcW w:w="99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Субъект </w:t>
            </w:r>
          </w:p>
        </w:tc>
        <w:tc>
          <w:tcPr>
            <w:tcW w:w="13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Животноводство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Пищевая </w:t>
            </w:r>
            <w:proofErr w:type="spell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пром-ть</w:t>
            </w:r>
            <w:proofErr w:type="spellEnd"/>
          </w:p>
        </w:tc>
        <w:tc>
          <w:tcPr>
            <w:tcW w:w="19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Машиностроение, оборудование, металлургия</w:t>
            </w:r>
          </w:p>
        </w:tc>
        <w:tc>
          <w:tcPr>
            <w:tcW w:w="198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Лесная </w:t>
            </w:r>
            <w:proofErr w:type="spell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обрабат</w:t>
            </w:r>
            <w:proofErr w:type="spellEnd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пром-ть</w:t>
            </w:r>
            <w:proofErr w:type="spellEnd"/>
          </w:p>
        </w:tc>
        <w:tc>
          <w:tcPr>
            <w:tcW w:w="10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Фарм. </w:t>
            </w:r>
            <w:proofErr w:type="spell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произв</w:t>
            </w:r>
            <w:proofErr w:type="spellEnd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-во</w:t>
            </w:r>
          </w:p>
        </w:tc>
        <w:tc>
          <w:tcPr>
            <w:tcW w:w="152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Производство мяса, мясной продукции</w:t>
            </w:r>
          </w:p>
        </w:tc>
        <w:tc>
          <w:tcPr>
            <w:tcW w:w="119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Тяжелое </w:t>
            </w:r>
          </w:p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 </w:t>
            </w:r>
          </w:p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энергетич</w:t>
            </w:r>
            <w:proofErr w:type="spellEnd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машин-е</w:t>
            </w:r>
            <w:proofErr w:type="gramEnd"/>
          </w:p>
        </w:tc>
        <w:tc>
          <w:tcPr>
            <w:tcW w:w="105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Произ</w:t>
            </w:r>
            <w:proofErr w:type="spellEnd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-во напитков</w:t>
            </w:r>
          </w:p>
        </w:tc>
        <w:tc>
          <w:tcPr>
            <w:tcW w:w="85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Произ</w:t>
            </w:r>
            <w:proofErr w:type="spellEnd"/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-во ТС</w:t>
            </w:r>
          </w:p>
        </w:tc>
        <w:tc>
          <w:tcPr>
            <w:tcW w:w="150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Судостроение</w:t>
            </w:r>
          </w:p>
        </w:tc>
        <w:tc>
          <w:tcPr>
            <w:tcW w:w="8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Общие потери млрд.</w:t>
            </w:r>
          </w:p>
        </w:tc>
      </w:tr>
      <w:tr w:rsidR="00C862F1" w:rsidRPr="00C862F1" w:rsidTr="00A4506B">
        <w:tc>
          <w:tcPr>
            <w:tcW w:w="99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Кировская область</w:t>
            </w:r>
          </w:p>
        </w:tc>
        <w:tc>
          <w:tcPr>
            <w:tcW w:w="13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19%-24%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10%  - 14%</w:t>
            </w:r>
          </w:p>
        </w:tc>
        <w:tc>
          <w:tcPr>
            <w:tcW w:w="19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69 – 70%</w:t>
            </w:r>
          </w:p>
        </w:tc>
        <w:tc>
          <w:tcPr>
            <w:tcW w:w="198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42,5-56%</w:t>
            </w:r>
          </w:p>
        </w:tc>
        <w:tc>
          <w:tcPr>
            <w:tcW w:w="10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20-24%</w:t>
            </w:r>
          </w:p>
        </w:tc>
        <w:tc>
          <w:tcPr>
            <w:tcW w:w="119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36,4-38,7</w:t>
            </w:r>
          </w:p>
        </w:tc>
      </w:tr>
      <w:tr w:rsidR="00C862F1" w:rsidRPr="00C862F1" w:rsidTr="00A4506B">
        <w:tc>
          <w:tcPr>
            <w:tcW w:w="99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Удмуртская Республика</w:t>
            </w:r>
          </w:p>
        </w:tc>
        <w:tc>
          <w:tcPr>
            <w:tcW w:w="13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22,9% - 23,3%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25,9% - 26,9%</w:t>
            </w:r>
          </w:p>
        </w:tc>
        <w:tc>
          <w:tcPr>
            <w:tcW w:w="19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65,7% - 72,7%</w:t>
            </w:r>
          </w:p>
        </w:tc>
        <w:tc>
          <w:tcPr>
            <w:tcW w:w="198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66,7% - 77,8%</w:t>
            </w:r>
          </w:p>
        </w:tc>
        <w:tc>
          <w:tcPr>
            <w:tcW w:w="152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48,1-49,4</w:t>
            </w:r>
          </w:p>
        </w:tc>
      </w:tr>
      <w:tr w:rsidR="00C862F1" w:rsidRPr="00C862F1" w:rsidTr="00A4506B">
        <w:tc>
          <w:tcPr>
            <w:tcW w:w="99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Пермский край</w:t>
            </w:r>
          </w:p>
        </w:tc>
        <w:tc>
          <w:tcPr>
            <w:tcW w:w="13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26,6% - 31%</w:t>
            </w:r>
          </w:p>
        </w:tc>
        <w:tc>
          <w:tcPr>
            <w:tcW w:w="19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85,7% - 94%</w:t>
            </w:r>
          </w:p>
        </w:tc>
        <w:tc>
          <w:tcPr>
            <w:tcW w:w="198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45,6% - 52,5%</w:t>
            </w:r>
          </w:p>
        </w:tc>
        <w:tc>
          <w:tcPr>
            <w:tcW w:w="119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97,4%</w:t>
            </w:r>
          </w:p>
        </w:tc>
        <w:tc>
          <w:tcPr>
            <w:tcW w:w="105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122,2-117,3</w:t>
            </w:r>
          </w:p>
        </w:tc>
      </w:tr>
      <w:tr w:rsidR="00C862F1" w:rsidRPr="00C862F1" w:rsidTr="00A4506B">
        <w:tc>
          <w:tcPr>
            <w:tcW w:w="99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Республика Татарстан </w:t>
            </w:r>
          </w:p>
        </w:tc>
        <w:tc>
          <w:tcPr>
            <w:tcW w:w="13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21,4% - 23,1%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39,9% - 47,3%</w:t>
            </w:r>
          </w:p>
        </w:tc>
        <w:tc>
          <w:tcPr>
            <w:tcW w:w="198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48,4-49,2%</w:t>
            </w:r>
          </w:p>
        </w:tc>
        <w:tc>
          <w:tcPr>
            <w:tcW w:w="150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290,7-319,9</w:t>
            </w:r>
          </w:p>
        </w:tc>
      </w:tr>
      <w:tr w:rsidR="00C862F1" w:rsidRPr="00C862F1" w:rsidTr="00A4506B">
        <w:tc>
          <w:tcPr>
            <w:tcW w:w="99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Республика Башкортостан </w:t>
            </w:r>
          </w:p>
        </w:tc>
        <w:tc>
          <w:tcPr>
            <w:tcW w:w="13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21,4% – 22,2%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27,4%</w:t>
            </w:r>
          </w:p>
        </w:tc>
        <w:tc>
          <w:tcPr>
            <w:tcW w:w="19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74,7% - 76,2%</w:t>
            </w:r>
          </w:p>
        </w:tc>
        <w:tc>
          <w:tcPr>
            <w:tcW w:w="198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49,3% - 97%</w:t>
            </w:r>
          </w:p>
        </w:tc>
        <w:tc>
          <w:tcPr>
            <w:tcW w:w="119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108 - 118,2</w:t>
            </w:r>
          </w:p>
        </w:tc>
      </w:tr>
      <w:tr w:rsidR="00C862F1" w:rsidRPr="00C862F1" w:rsidTr="00A4506B">
        <w:tc>
          <w:tcPr>
            <w:tcW w:w="99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Оренбургская область</w:t>
            </w:r>
          </w:p>
        </w:tc>
        <w:tc>
          <w:tcPr>
            <w:tcW w:w="13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21,4% - 22,2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22,5% - 87,8%</w:t>
            </w:r>
          </w:p>
        </w:tc>
        <w:tc>
          <w:tcPr>
            <w:tcW w:w="119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37,2-34,4</w:t>
            </w:r>
          </w:p>
        </w:tc>
      </w:tr>
      <w:tr w:rsidR="00C862F1" w:rsidRPr="00C862F1" w:rsidTr="00A4506B">
        <w:tc>
          <w:tcPr>
            <w:tcW w:w="99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Самарская область</w:t>
            </w:r>
          </w:p>
        </w:tc>
        <w:tc>
          <w:tcPr>
            <w:tcW w:w="13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32,6% - 33,3%</w:t>
            </w:r>
          </w:p>
        </w:tc>
        <w:tc>
          <w:tcPr>
            <w:tcW w:w="19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91,4% - 91,8%</w:t>
            </w:r>
          </w:p>
        </w:tc>
        <w:tc>
          <w:tcPr>
            <w:tcW w:w="198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32,6% - 33,8%</w:t>
            </w:r>
          </w:p>
        </w:tc>
        <w:tc>
          <w:tcPr>
            <w:tcW w:w="119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68,5 – 75%</w:t>
            </w:r>
          </w:p>
        </w:tc>
        <w:tc>
          <w:tcPr>
            <w:tcW w:w="85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4,8% - 34,20%</w:t>
            </w:r>
          </w:p>
        </w:tc>
        <w:tc>
          <w:tcPr>
            <w:tcW w:w="150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141 – 323,5</w:t>
            </w:r>
          </w:p>
        </w:tc>
      </w:tr>
      <w:tr w:rsidR="00C862F1" w:rsidRPr="00C862F1" w:rsidTr="00A4506B">
        <w:tc>
          <w:tcPr>
            <w:tcW w:w="99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Нижегородская область</w:t>
            </w:r>
          </w:p>
        </w:tc>
        <w:tc>
          <w:tcPr>
            <w:tcW w:w="13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33,45 – 34,7%</w:t>
            </w:r>
          </w:p>
        </w:tc>
        <w:tc>
          <w:tcPr>
            <w:tcW w:w="19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66,7% - 77,10</w:t>
            </w:r>
          </w:p>
        </w:tc>
        <w:tc>
          <w:tcPr>
            <w:tcW w:w="152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45,6% - 55,6%</w:t>
            </w:r>
          </w:p>
        </w:tc>
        <w:tc>
          <w:tcPr>
            <w:tcW w:w="119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73,9% - 75%</w:t>
            </w:r>
          </w:p>
        </w:tc>
        <w:tc>
          <w:tcPr>
            <w:tcW w:w="85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13,2% - 37,2%</w:t>
            </w:r>
          </w:p>
        </w:tc>
        <w:tc>
          <w:tcPr>
            <w:tcW w:w="150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6% -50,4%</w:t>
            </w:r>
          </w:p>
        </w:tc>
        <w:tc>
          <w:tcPr>
            <w:tcW w:w="8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150,5</w:t>
            </w:r>
          </w:p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- 212,2</w:t>
            </w:r>
          </w:p>
        </w:tc>
      </w:tr>
      <w:tr w:rsidR="00C862F1" w:rsidRPr="00C862F1" w:rsidTr="00A4506B">
        <w:tc>
          <w:tcPr>
            <w:tcW w:w="99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Пензенская область</w:t>
            </w:r>
          </w:p>
        </w:tc>
        <w:tc>
          <w:tcPr>
            <w:tcW w:w="13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23% - 24%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31% - 34%</w:t>
            </w:r>
          </w:p>
        </w:tc>
        <w:tc>
          <w:tcPr>
            <w:tcW w:w="19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60% - 66%</w:t>
            </w:r>
          </w:p>
        </w:tc>
        <w:tc>
          <w:tcPr>
            <w:tcW w:w="198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99%</w:t>
            </w:r>
          </w:p>
        </w:tc>
        <w:tc>
          <w:tcPr>
            <w:tcW w:w="105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51,9-52,0</w:t>
            </w:r>
          </w:p>
        </w:tc>
      </w:tr>
      <w:tr w:rsidR="00C862F1" w:rsidRPr="00C862F1" w:rsidTr="00A4506B">
        <w:tc>
          <w:tcPr>
            <w:tcW w:w="99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Респуб</w:t>
            </w: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лика Мордовия</w:t>
            </w:r>
          </w:p>
        </w:tc>
        <w:tc>
          <w:tcPr>
            <w:tcW w:w="13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23,2% - </w:t>
            </w: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24,2%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28,9% - </w:t>
            </w: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32,4%</w:t>
            </w:r>
          </w:p>
        </w:tc>
        <w:tc>
          <w:tcPr>
            <w:tcW w:w="19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100%</w:t>
            </w:r>
          </w:p>
        </w:tc>
        <w:tc>
          <w:tcPr>
            <w:tcW w:w="198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58,5% - </w:t>
            </w: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66,7%</w:t>
            </w:r>
          </w:p>
        </w:tc>
        <w:tc>
          <w:tcPr>
            <w:tcW w:w="152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5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49,8-</w:t>
            </w: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57,5</w:t>
            </w:r>
          </w:p>
        </w:tc>
      </w:tr>
      <w:tr w:rsidR="00C862F1" w:rsidRPr="00C862F1" w:rsidTr="00A4506B">
        <w:trPr>
          <w:trHeight w:val="1057"/>
        </w:trPr>
        <w:tc>
          <w:tcPr>
            <w:tcW w:w="99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Республика Мари-Эл</w:t>
            </w:r>
          </w:p>
        </w:tc>
        <w:tc>
          <w:tcPr>
            <w:tcW w:w="13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19,7% - 20,4%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32,9% - 36,9%</w:t>
            </w:r>
          </w:p>
        </w:tc>
        <w:tc>
          <w:tcPr>
            <w:tcW w:w="19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50,8% - 72,7%</w:t>
            </w:r>
          </w:p>
        </w:tc>
        <w:tc>
          <w:tcPr>
            <w:tcW w:w="198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42,5% - 45,6%</w:t>
            </w:r>
          </w:p>
        </w:tc>
        <w:tc>
          <w:tcPr>
            <w:tcW w:w="119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97,2%</w:t>
            </w:r>
          </w:p>
        </w:tc>
        <w:tc>
          <w:tcPr>
            <w:tcW w:w="105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28,1-</w:t>
            </w:r>
          </w:p>
        </w:tc>
      </w:tr>
      <w:tr w:rsidR="00C862F1" w:rsidRPr="00C862F1" w:rsidTr="00A4506B">
        <w:tc>
          <w:tcPr>
            <w:tcW w:w="99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Чувашская Республика</w:t>
            </w:r>
          </w:p>
        </w:tc>
        <w:tc>
          <w:tcPr>
            <w:tcW w:w="13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21.7% - 22,3%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22,5% - 22,7%</w:t>
            </w:r>
          </w:p>
        </w:tc>
        <w:tc>
          <w:tcPr>
            <w:tcW w:w="19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89% - 94%</w:t>
            </w:r>
          </w:p>
        </w:tc>
        <w:tc>
          <w:tcPr>
            <w:tcW w:w="198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5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50,- </w:t>
            </w:r>
          </w:p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51,9</w:t>
            </w:r>
          </w:p>
        </w:tc>
      </w:tr>
      <w:tr w:rsidR="00C862F1" w:rsidRPr="00C862F1" w:rsidTr="00A4506B">
        <w:tc>
          <w:tcPr>
            <w:tcW w:w="99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Ульяновская область</w:t>
            </w:r>
          </w:p>
        </w:tc>
        <w:tc>
          <w:tcPr>
            <w:tcW w:w="13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28,4%- 30,3%</w:t>
            </w:r>
          </w:p>
        </w:tc>
        <w:tc>
          <w:tcPr>
            <w:tcW w:w="19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48,4% - 66,7%</w:t>
            </w:r>
          </w:p>
        </w:tc>
        <w:tc>
          <w:tcPr>
            <w:tcW w:w="198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45,6% - 50,9%</w:t>
            </w:r>
          </w:p>
        </w:tc>
        <w:tc>
          <w:tcPr>
            <w:tcW w:w="119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5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755 – 100%</w:t>
            </w:r>
          </w:p>
        </w:tc>
        <w:tc>
          <w:tcPr>
            <w:tcW w:w="85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24,6% - 32%</w:t>
            </w:r>
          </w:p>
        </w:tc>
        <w:tc>
          <w:tcPr>
            <w:tcW w:w="150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56 – 70,1</w:t>
            </w:r>
          </w:p>
        </w:tc>
      </w:tr>
      <w:tr w:rsidR="00C862F1" w:rsidRPr="00C862F1" w:rsidTr="00A4506B">
        <w:tc>
          <w:tcPr>
            <w:tcW w:w="99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Саратовская область</w:t>
            </w:r>
          </w:p>
        </w:tc>
        <w:tc>
          <w:tcPr>
            <w:tcW w:w="13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17% -19%</w:t>
            </w:r>
          </w:p>
        </w:tc>
        <w:tc>
          <w:tcPr>
            <w:tcW w:w="113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19% - 21%</w:t>
            </w:r>
          </w:p>
        </w:tc>
        <w:tc>
          <w:tcPr>
            <w:tcW w:w="19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60% - 62%</w:t>
            </w:r>
          </w:p>
        </w:tc>
        <w:tc>
          <w:tcPr>
            <w:tcW w:w="198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88% - 90%</w:t>
            </w:r>
          </w:p>
        </w:tc>
        <w:tc>
          <w:tcPr>
            <w:tcW w:w="105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2F1">
              <w:rPr>
                <w:rFonts w:ascii="Arial" w:hAnsi="Arial" w:cs="Arial"/>
                <w:sz w:val="20"/>
                <w:szCs w:val="20"/>
                <w:lang w:eastAsia="en-US"/>
              </w:rPr>
              <w:t>66,9 – 72,9</w:t>
            </w:r>
          </w:p>
        </w:tc>
      </w:tr>
    </w:tbl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  <w:r w:rsidRPr="00C862F1">
        <w:rPr>
          <w:rFonts w:ascii="Arial" w:hAnsi="Arial" w:cs="Arial"/>
          <w:lang w:eastAsia="en-US"/>
        </w:rPr>
        <w:br w:type="page"/>
      </w: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C862F1" w:rsidRPr="00C862F1" w:rsidRDefault="00C862F1" w:rsidP="00C862F1">
      <w:pPr>
        <w:spacing w:after="160" w:line="259" w:lineRule="auto"/>
        <w:jc w:val="right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t>Приложение№8</w:t>
      </w:r>
    </w:p>
    <w:p w:rsidR="00C862F1" w:rsidRPr="00C862F1" w:rsidRDefault="00C862F1" w:rsidP="00C862F1">
      <w:pPr>
        <w:spacing w:after="160" w:line="259" w:lineRule="auto"/>
        <w:jc w:val="center"/>
        <w:rPr>
          <w:rFonts w:ascii="Arial" w:hAnsi="Arial" w:cs="Arial"/>
          <w:b/>
          <w:lang w:eastAsia="en-US"/>
        </w:rPr>
      </w:pPr>
      <w:r w:rsidRPr="00C862F1">
        <w:rPr>
          <w:rFonts w:ascii="Arial" w:hAnsi="Arial" w:cs="Arial"/>
          <w:b/>
          <w:lang w:eastAsia="en-US"/>
        </w:rPr>
        <w:t>Возможные потери Северо-Кавказского федерального округа к 2020г. (</w:t>
      </w:r>
      <w:proofErr w:type="gramStart"/>
      <w:r w:rsidRPr="00C862F1">
        <w:rPr>
          <w:rFonts w:ascii="Arial" w:hAnsi="Arial" w:cs="Arial"/>
          <w:b/>
          <w:lang w:eastAsia="en-US"/>
        </w:rPr>
        <w:t>в</w:t>
      </w:r>
      <w:proofErr w:type="gramEnd"/>
      <w:r w:rsidRPr="00C862F1">
        <w:rPr>
          <w:rFonts w:ascii="Arial" w:hAnsi="Arial" w:cs="Arial"/>
          <w:b/>
          <w:lang w:eastAsia="en-US"/>
        </w:rPr>
        <w:t xml:space="preserve"> % по каждому субъекту)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1663"/>
        <w:gridCol w:w="1152"/>
        <w:gridCol w:w="1651"/>
        <w:gridCol w:w="1932"/>
        <w:gridCol w:w="1990"/>
        <w:gridCol w:w="1612"/>
        <w:gridCol w:w="1966"/>
        <w:gridCol w:w="935"/>
      </w:tblGrid>
      <w:tr w:rsidR="00C862F1" w:rsidRPr="00C862F1" w:rsidTr="00A4506B">
        <w:tc>
          <w:tcPr>
            <w:tcW w:w="18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Субъект </w:t>
            </w:r>
          </w:p>
        </w:tc>
        <w:tc>
          <w:tcPr>
            <w:tcW w:w="166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Производство ТС и оборудования</w:t>
            </w:r>
          </w:p>
        </w:tc>
        <w:tc>
          <w:tcPr>
            <w:tcW w:w="115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Пищевая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пром-ть</w:t>
            </w:r>
            <w:proofErr w:type="spellEnd"/>
          </w:p>
        </w:tc>
        <w:tc>
          <w:tcPr>
            <w:tcW w:w="16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Производство напитков</w:t>
            </w:r>
          </w:p>
        </w:tc>
        <w:tc>
          <w:tcPr>
            <w:tcW w:w="193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Животноводство </w:t>
            </w:r>
          </w:p>
        </w:tc>
        <w:tc>
          <w:tcPr>
            <w:tcW w:w="199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Растениеводство</w:t>
            </w:r>
          </w:p>
        </w:tc>
        <w:tc>
          <w:tcPr>
            <w:tcW w:w="161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Фарм. производство</w:t>
            </w:r>
          </w:p>
        </w:tc>
        <w:tc>
          <w:tcPr>
            <w:tcW w:w="196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Тяжелое и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энергетич</w:t>
            </w:r>
            <w:proofErr w:type="spellEnd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. машиностроение</w:t>
            </w:r>
          </w:p>
        </w:tc>
        <w:tc>
          <w:tcPr>
            <w:tcW w:w="93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Общие потери </w:t>
            </w:r>
            <w:proofErr w:type="spell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мрлд</w:t>
            </w:r>
            <w:proofErr w:type="spellEnd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C862F1" w:rsidRPr="00C862F1" w:rsidTr="00A4506B">
        <w:tc>
          <w:tcPr>
            <w:tcW w:w="18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Карачаево-Черкесская Республика</w:t>
            </w:r>
          </w:p>
        </w:tc>
        <w:tc>
          <w:tcPr>
            <w:tcW w:w="166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34,1% - 52%</w:t>
            </w:r>
          </w:p>
        </w:tc>
        <w:tc>
          <w:tcPr>
            <w:tcW w:w="115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47,6% - 48,2%</w:t>
            </w:r>
          </w:p>
        </w:tc>
        <w:tc>
          <w:tcPr>
            <w:tcW w:w="16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71,7% - 75%</w:t>
            </w:r>
          </w:p>
        </w:tc>
        <w:tc>
          <w:tcPr>
            <w:tcW w:w="193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18,8% - 19,5%</w:t>
            </w:r>
          </w:p>
        </w:tc>
        <w:tc>
          <w:tcPr>
            <w:tcW w:w="199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20,3% - 24,8%</w:t>
            </w:r>
          </w:p>
        </w:tc>
        <w:tc>
          <w:tcPr>
            <w:tcW w:w="161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0,29% - 0,77%</w:t>
            </w:r>
          </w:p>
        </w:tc>
        <w:tc>
          <w:tcPr>
            <w:tcW w:w="196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12,4 – 15,1</w:t>
            </w:r>
          </w:p>
        </w:tc>
      </w:tr>
      <w:tr w:rsidR="00C862F1" w:rsidRPr="00C862F1" w:rsidTr="00A4506B">
        <w:tc>
          <w:tcPr>
            <w:tcW w:w="18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Ставропольский край</w:t>
            </w:r>
          </w:p>
        </w:tc>
        <w:tc>
          <w:tcPr>
            <w:tcW w:w="166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34,4% - 36,3%</w:t>
            </w:r>
          </w:p>
        </w:tc>
        <w:tc>
          <w:tcPr>
            <w:tcW w:w="16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18,4% - 21,5%</w:t>
            </w:r>
          </w:p>
        </w:tc>
        <w:tc>
          <w:tcPr>
            <w:tcW w:w="199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21,1% - 24,1%</w:t>
            </w:r>
          </w:p>
        </w:tc>
        <w:tc>
          <w:tcPr>
            <w:tcW w:w="161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73,4 – 84,8</w:t>
            </w:r>
          </w:p>
        </w:tc>
      </w:tr>
      <w:tr w:rsidR="00C862F1" w:rsidRPr="00C862F1" w:rsidTr="00A4506B">
        <w:tc>
          <w:tcPr>
            <w:tcW w:w="18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Республика Дагестан</w:t>
            </w:r>
          </w:p>
        </w:tc>
        <w:tc>
          <w:tcPr>
            <w:tcW w:w="166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42% - 45%</w:t>
            </w:r>
          </w:p>
        </w:tc>
        <w:tc>
          <w:tcPr>
            <w:tcW w:w="16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20% - 22%</w:t>
            </w:r>
          </w:p>
        </w:tc>
        <w:tc>
          <w:tcPr>
            <w:tcW w:w="199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19% -22%</w:t>
            </w:r>
          </w:p>
        </w:tc>
        <w:tc>
          <w:tcPr>
            <w:tcW w:w="161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17,8</w:t>
            </w:r>
          </w:p>
        </w:tc>
      </w:tr>
      <w:tr w:rsidR="00C862F1" w:rsidRPr="00C862F1" w:rsidTr="00A4506B">
        <w:tc>
          <w:tcPr>
            <w:tcW w:w="18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Республика Чечня</w:t>
            </w:r>
          </w:p>
        </w:tc>
        <w:tc>
          <w:tcPr>
            <w:tcW w:w="166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12,7% - 18,9% </w:t>
            </w:r>
          </w:p>
        </w:tc>
        <w:tc>
          <w:tcPr>
            <w:tcW w:w="5568" w:type="dxa"/>
            <w:gridSpan w:val="3"/>
          </w:tcPr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Негативное влияние ВТО на добычу полезных ископаемых минимально в связи с низкой долей импорта и экспортной ориентацией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производства.</w:t>
            </w:r>
          </w:p>
        </w:tc>
        <w:tc>
          <w:tcPr>
            <w:tcW w:w="93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2,6 – 2,8</w:t>
            </w:r>
          </w:p>
        </w:tc>
      </w:tr>
      <w:tr w:rsidR="00C862F1" w:rsidRPr="00C862F1" w:rsidTr="00A4506B">
        <w:tc>
          <w:tcPr>
            <w:tcW w:w="18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Республика Северная Осетия</w:t>
            </w:r>
          </w:p>
        </w:tc>
        <w:tc>
          <w:tcPr>
            <w:tcW w:w="166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46% - 75%</w:t>
            </w:r>
          </w:p>
        </w:tc>
        <w:tc>
          <w:tcPr>
            <w:tcW w:w="16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17,7% - 18,2%</w:t>
            </w:r>
          </w:p>
        </w:tc>
        <w:tc>
          <w:tcPr>
            <w:tcW w:w="199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17,8% - 23,7%</w:t>
            </w:r>
          </w:p>
        </w:tc>
        <w:tc>
          <w:tcPr>
            <w:tcW w:w="161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8,1% - 9,2</w:t>
            </w:r>
          </w:p>
        </w:tc>
      </w:tr>
      <w:tr w:rsidR="00C862F1" w:rsidRPr="00C862F1" w:rsidTr="00A4506B">
        <w:tc>
          <w:tcPr>
            <w:tcW w:w="18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Республика Ингушетия </w:t>
            </w:r>
          </w:p>
        </w:tc>
        <w:tc>
          <w:tcPr>
            <w:tcW w:w="11966" w:type="dxa"/>
            <w:gridSpan w:val="7"/>
          </w:tcPr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Негативное влияние ВТО на нефтепереработку, нефтехимию и химию минимально в связи </w:t>
            </w:r>
            <w:proofErr w:type="gram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с</w:t>
            </w:r>
            <w:proofErr w:type="gramEnd"/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экспортной ориентацией и значительными инвестициями в развитие и модернизацию</w:t>
            </w:r>
          </w:p>
          <w:p w:rsidR="00C862F1" w:rsidRPr="00C862F1" w:rsidRDefault="00C862F1" w:rsidP="00C862F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производства за последние 5 лет.</w:t>
            </w:r>
            <w:proofErr w:type="gramEnd"/>
          </w:p>
        </w:tc>
        <w:tc>
          <w:tcPr>
            <w:tcW w:w="93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0,6 – 0,8</w:t>
            </w:r>
          </w:p>
        </w:tc>
      </w:tr>
      <w:tr w:rsidR="00C862F1" w:rsidRPr="00C862F1" w:rsidTr="00A4506B">
        <w:tc>
          <w:tcPr>
            <w:tcW w:w="188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Кабардино-Балканская Республика</w:t>
            </w:r>
          </w:p>
        </w:tc>
        <w:tc>
          <w:tcPr>
            <w:tcW w:w="1663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46% - 48%</w:t>
            </w:r>
          </w:p>
        </w:tc>
        <w:tc>
          <w:tcPr>
            <w:tcW w:w="1651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50% - 75%</w:t>
            </w:r>
          </w:p>
        </w:tc>
        <w:tc>
          <w:tcPr>
            <w:tcW w:w="193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21% - 25%</w:t>
            </w:r>
          </w:p>
        </w:tc>
        <w:tc>
          <w:tcPr>
            <w:tcW w:w="1990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19% - 29%</w:t>
            </w:r>
          </w:p>
        </w:tc>
        <w:tc>
          <w:tcPr>
            <w:tcW w:w="1612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98% - 10%</w:t>
            </w:r>
          </w:p>
        </w:tc>
        <w:tc>
          <w:tcPr>
            <w:tcW w:w="935" w:type="dxa"/>
          </w:tcPr>
          <w:p w:rsidR="00C862F1" w:rsidRPr="00C862F1" w:rsidRDefault="00C862F1" w:rsidP="00C862F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62F1">
              <w:rPr>
                <w:rFonts w:ascii="Arial" w:hAnsi="Arial" w:cs="Arial"/>
                <w:sz w:val="22"/>
                <w:szCs w:val="22"/>
                <w:lang w:eastAsia="en-US"/>
              </w:rPr>
              <w:t>4,8 – 5</w:t>
            </w:r>
          </w:p>
        </w:tc>
      </w:tr>
    </w:tbl>
    <w:p w:rsidR="00C862F1" w:rsidRPr="00C862F1" w:rsidRDefault="00C862F1" w:rsidP="00C862F1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862F1" w:rsidRDefault="00C862F1" w:rsidP="001F77E3">
      <w:pPr>
        <w:spacing w:line="360" w:lineRule="auto"/>
        <w:ind w:firstLine="709"/>
        <w:jc w:val="both"/>
        <w:rPr>
          <w:sz w:val="28"/>
          <w:szCs w:val="28"/>
        </w:rPr>
        <w:sectPr w:rsidR="00C862F1" w:rsidSect="00C862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62F1" w:rsidRPr="001F77E3" w:rsidRDefault="00C862F1" w:rsidP="001F77E3">
      <w:pPr>
        <w:spacing w:line="360" w:lineRule="auto"/>
        <w:ind w:firstLine="709"/>
        <w:jc w:val="both"/>
        <w:rPr>
          <w:sz w:val="28"/>
          <w:szCs w:val="28"/>
        </w:rPr>
      </w:pPr>
    </w:p>
    <w:sectPr w:rsidR="00C862F1" w:rsidRPr="001F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AC" w:rsidRDefault="006E5BAC" w:rsidP="00497837">
      <w:r>
        <w:separator/>
      </w:r>
    </w:p>
  </w:endnote>
  <w:endnote w:type="continuationSeparator" w:id="0">
    <w:p w:rsidR="006E5BAC" w:rsidRDefault="006E5BAC" w:rsidP="0049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AC" w:rsidRDefault="006E5BAC" w:rsidP="00497837">
      <w:r>
        <w:separator/>
      </w:r>
    </w:p>
  </w:footnote>
  <w:footnote w:type="continuationSeparator" w:id="0">
    <w:p w:rsidR="006E5BAC" w:rsidRDefault="006E5BAC" w:rsidP="00497837">
      <w:r>
        <w:continuationSeparator/>
      </w:r>
    </w:p>
  </w:footnote>
  <w:footnote w:id="1">
    <w:p w:rsidR="00497837" w:rsidRDefault="00497837" w:rsidP="00497837">
      <w:pPr>
        <w:pStyle w:val="a4"/>
      </w:pPr>
      <w:r w:rsidRPr="0019718F">
        <w:rPr>
          <w:rStyle w:val="a6"/>
          <w:sz w:val="24"/>
          <w:szCs w:val="24"/>
        </w:rPr>
        <w:footnoteRef/>
      </w:r>
      <w:r w:rsidRPr="00497837">
        <w:rPr>
          <w:sz w:val="24"/>
          <w:szCs w:val="24"/>
        </w:rPr>
        <w:t>http://customs.ru/index.php?option=com_content&amp;view=article&amp;id=7995&amp;Itemid=1845</w:t>
      </w:r>
      <w:r w:rsidRPr="00625D41">
        <w:rPr>
          <w:rFonts w:ascii="Arial" w:hAnsi="Arial" w:cs="Arial"/>
          <w:sz w:val="24"/>
          <w:szCs w:val="24"/>
        </w:rPr>
        <w:t>.</w:t>
      </w:r>
    </w:p>
  </w:footnote>
  <w:footnote w:id="2">
    <w:p w:rsidR="00C862F1" w:rsidRDefault="00C862F1" w:rsidP="00C862F1">
      <w:pPr>
        <w:pStyle w:val="a4"/>
      </w:pPr>
      <w:r w:rsidRPr="008767F9">
        <w:rPr>
          <w:rStyle w:val="a6"/>
          <w:rFonts w:ascii="Arial" w:hAnsi="Arial" w:cs="Arial"/>
          <w:sz w:val="24"/>
          <w:szCs w:val="24"/>
        </w:rPr>
        <w:footnoteRef/>
      </w:r>
      <w:r w:rsidRPr="008767F9">
        <w:rPr>
          <w:rFonts w:ascii="Arial" w:hAnsi="Arial" w:cs="Arial"/>
          <w:sz w:val="24"/>
          <w:szCs w:val="24"/>
        </w:rPr>
        <w:t xml:space="preserve"> </w:t>
      </w:r>
      <w:hyperlink r:id="rId1" w:history="1">
        <w:r w:rsidRPr="004B166D">
          <w:rPr>
            <w:rStyle w:val="af"/>
            <w:rFonts w:ascii="Arial" w:hAnsi="Arial" w:cs="Arial"/>
            <w:sz w:val="24"/>
            <w:szCs w:val="24"/>
          </w:rPr>
          <w:t>http://wto-inform.ru/conditions/infographic.php.информ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989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F7AFE"/>
    <w:multiLevelType w:val="hybridMultilevel"/>
    <w:tmpl w:val="18E681AE"/>
    <w:lvl w:ilvl="0" w:tplc="282A4F72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5B0002"/>
    <w:multiLevelType w:val="hybridMultilevel"/>
    <w:tmpl w:val="DCC06FFC"/>
    <w:lvl w:ilvl="0" w:tplc="DFAA27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9409BF"/>
    <w:multiLevelType w:val="hybridMultilevel"/>
    <w:tmpl w:val="2802512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3793DFC"/>
    <w:multiLevelType w:val="hybridMultilevel"/>
    <w:tmpl w:val="1AB295D2"/>
    <w:lvl w:ilvl="0" w:tplc="E556AE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7B82FF3"/>
    <w:multiLevelType w:val="hybridMultilevel"/>
    <w:tmpl w:val="7CA2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50769"/>
    <w:multiLevelType w:val="hybridMultilevel"/>
    <w:tmpl w:val="0C6A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65354E"/>
    <w:multiLevelType w:val="hybridMultilevel"/>
    <w:tmpl w:val="3CD2CFE4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2F480DFC"/>
    <w:multiLevelType w:val="hybridMultilevel"/>
    <w:tmpl w:val="8C90146A"/>
    <w:lvl w:ilvl="0" w:tplc="9FACF4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37D722E"/>
    <w:multiLevelType w:val="hybridMultilevel"/>
    <w:tmpl w:val="E6B6741A"/>
    <w:lvl w:ilvl="0" w:tplc="F3D247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763386"/>
    <w:multiLevelType w:val="hybridMultilevel"/>
    <w:tmpl w:val="D276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CF2881"/>
    <w:multiLevelType w:val="hybridMultilevel"/>
    <w:tmpl w:val="57388A00"/>
    <w:lvl w:ilvl="0" w:tplc="825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3891C7A"/>
    <w:multiLevelType w:val="hybridMultilevel"/>
    <w:tmpl w:val="49C6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60368D"/>
    <w:multiLevelType w:val="hybridMultilevel"/>
    <w:tmpl w:val="FD8A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D47CD6"/>
    <w:multiLevelType w:val="hybridMultilevel"/>
    <w:tmpl w:val="EDD6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40C39"/>
    <w:multiLevelType w:val="hybridMultilevel"/>
    <w:tmpl w:val="F7AC0B60"/>
    <w:lvl w:ilvl="0" w:tplc="0E7E6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3D13B1D"/>
    <w:multiLevelType w:val="hybridMultilevel"/>
    <w:tmpl w:val="E46EF34E"/>
    <w:lvl w:ilvl="0" w:tplc="BE7C2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0880AB0"/>
    <w:multiLevelType w:val="multilevel"/>
    <w:tmpl w:val="2C9A83C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67F5768E"/>
    <w:multiLevelType w:val="hybridMultilevel"/>
    <w:tmpl w:val="1900829A"/>
    <w:lvl w:ilvl="0" w:tplc="4B28B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9C73328"/>
    <w:multiLevelType w:val="hybridMultilevel"/>
    <w:tmpl w:val="960A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08319F"/>
    <w:multiLevelType w:val="multilevel"/>
    <w:tmpl w:val="C82A79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1">
    <w:nsid w:val="6DAD58E8"/>
    <w:multiLevelType w:val="hybridMultilevel"/>
    <w:tmpl w:val="8A405726"/>
    <w:lvl w:ilvl="0" w:tplc="6D42EB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E505450"/>
    <w:multiLevelType w:val="hybridMultilevel"/>
    <w:tmpl w:val="05B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F90203"/>
    <w:multiLevelType w:val="hybridMultilevel"/>
    <w:tmpl w:val="F404D6F0"/>
    <w:lvl w:ilvl="0" w:tplc="CEBC9B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1CF5184"/>
    <w:multiLevelType w:val="hybridMultilevel"/>
    <w:tmpl w:val="E2162102"/>
    <w:lvl w:ilvl="0" w:tplc="92A6780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2B13C9B"/>
    <w:multiLevelType w:val="hybridMultilevel"/>
    <w:tmpl w:val="3F2AB47A"/>
    <w:lvl w:ilvl="0" w:tplc="7794D732">
      <w:start w:val="1"/>
      <w:numFmt w:val="decimal"/>
      <w:lvlText w:val="%1."/>
      <w:lvlJc w:val="left"/>
      <w:pPr>
        <w:ind w:left="2133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6">
    <w:nsid w:val="7603228F"/>
    <w:multiLevelType w:val="hybridMultilevel"/>
    <w:tmpl w:val="BD4CAC64"/>
    <w:lvl w:ilvl="0" w:tplc="D1A8D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90D45D6"/>
    <w:multiLevelType w:val="hybridMultilevel"/>
    <w:tmpl w:val="999C6454"/>
    <w:lvl w:ilvl="0" w:tplc="53A455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94115FC"/>
    <w:multiLevelType w:val="hybridMultilevel"/>
    <w:tmpl w:val="482C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7"/>
  </w:num>
  <w:num w:numId="5">
    <w:abstractNumId w:val="7"/>
  </w:num>
  <w:num w:numId="6">
    <w:abstractNumId w:val="26"/>
  </w:num>
  <w:num w:numId="7">
    <w:abstractNumId w:val="16"/>
  </w:num>
  <w:num w:numId="8">
    <w:abstractNumId w:val="2"/>
  </w:num>
  <w:num w:numId="9">
    <w:abstractNumId w:val="23"/>
  </w:num>
  <w:num w:numId="10">
    <w:abstractNumId w:val="22"/>
  </w:num>
  <w:num w:numId="11">
    <w:abstractNumId w:val="21"/>
  </w:num>
  <w:num w:numId="12">
    <w:abstractNumId w:val="18"/>
  </w:num>
  <w:num w:numId="13">
    <w:abstractNumId w:val="20"/>
  </w:num>
  <w:num w:numId="14">
    <w:abstractNumId w:val="14"/>
  </w:num>
  <w:num w:numId="15">
    <w:abstractNumId w:val="5"/>
  </w:num>
  <w:num w:numId="16">
    <w:abstractNumId w:val="10"/>
  </w:num>
  <w:num w:numId="17">
    <w:abstractNumId w:val="12"/>
  </w:num>
  <w:num w:numId="18">
    <w:abstractNumId w:val="6"/>
  </w:num>
  <w:num w:numId="19">
    <w:abstractNumId w:val="19"/>
  </w:num>
  <w:num w:numId="20">
    <w:abstractNumId w:val="13"/>
  </w:num>
  <w:num w:numId="21">
    <w:abstractNumId w:val="28"/>
  </w:num>
  <w:num w:numId="22">
    <w:abstractNumId w:val="8"/>
  </w:num>
  <w:num w:numId="23">
    <w:abstractNumId w:val="3"/>
  </w:num>
  <w:num w:numId="24">
    <w:abstractNumId w:val="27"/>
  </w:num>
  <w:num w:numId="25">
    <w:abstractNumId w:val="9"/>
  </w:num>
  <w:num w:numId="26">
    <w:abstractNumId w:val="4"/>
  </w:num>
  <w:num w:numId="27">
    <w:abstractNumId w:val="24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E3"/>
    <w:rsid w:val="000A2994"/>
    <w:rsid w:val="001F77E3"/>
    <w:rsid w:val="00380EF9"/>
    <w:rsid w:val="00497837"/>
    <w:rsid w:val="005055BD"/>
    <w:rsid w:val="005322D7"/>
    <w:rsid w:val="006D5072"/>
    <w:rsid w:val="006E5BAC"/>
    <w:rsid w:val="0079228F"/>
    <w:rsid w:val="009021FC"/>
    <w:rsid w:val="00A5709E"/>
    <w:rsid w:val="00C66526"/>
    <w:rsid w:val="00C862F1"/>
    <w:rsid w:val="00D00A1D"/>
    <w:rsid w:val="00F3029B"/>
    <w:rsid w:val="00F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497837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497837"/>
  </w:style>
  <w:style w:type="character" w:styleId="a6">
    <w:name w:val="footnote reference"/>
    <w:aliases w:val="Знак сноски 1,Знак сноски-FN,Ciae niinee-FN,Referencia nota al pie,SUPERS,Ciae niinee 1"/>
    <w:basedOn w:val="a1"/>
    <w:uiPriority w:val="99"/>
    <w:rsid w:val="00497837"/>
    <w:rPr>
      <w:rFonts w:cs="Times New Roman"/>
      <w:vertAlign w:val="superscript"/>
    </w:rPr>
  </w:style>
  <w:style w:type="numbering" w:customStyle="1" w:styleId="1">
    <w:name w:val="Нет списка1"/>
    <w:next w:val="a3"/>
    <w:uiPriority w:val="99"/>
    <w:semiHidden/>
    <w:unhideWhenUsed/>
    <w:rsid w:val="00C862F1"/>
  </w:style>
  <w:style w:type="paragraph" w:styleId="a7">
    <w:name w:val="List Paragraph"/>
    <w:basedOn w:val="a0"/>
    <w:uiPriority w:val="99"/>
    <w:qFormat/>
    <w:rsid w:val="00C862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Strong"/>
    <w:basedOn w:val="a1"/>
    <w:uiPriority w:val="99"/>
    <w:qFormat/>
    <w:rsid w:val="00C862F1"/>
    <w:rPr>
      <w:rFonts w:cs="Times New Roman"/>
      <w:b/>
      <w:bCs/>
    </w:rPr>
  </w:style>
  <w:style w:type="table" w:styleId="a9">
    <w:name w:val="Table Grid"/>
    <w:basedOn w:val="a2"/>
    <w:uiPriority w:val="99"/>
    <w:rsid w:val="00C862F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rsid w:val="00C862F1"/>
    <w:pPr>
      <w:spacing w:before="100" w:beforeAutospacing="1" w:after="100" w:afterAutospacing="1"/>
    </w:pPr>
  </w:style>
  <w:style w:type="paragraph" w:styleId="ab">
    <w:name w:val="header"/>
    <w:basedOn w:val="a0"/>
    <w:link w:val="ac"/>
    <w:uiPriority w:val="99"/>
    <w:rsid w:val="00C862F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C862F1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rsid w:val="00C862F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C862F1"/>
    <w:rPr>
      <w:rFonts w:ascii="Calibri" w:hAnsi="Calibri"/>
      <w:sz w:val="22"/>
      <w:szCs w:val="22"/>
      <w:lang w:eastAsia="en-US"/>
    </w:rPr>
  </w:style>
  <w:style w:type="paragraph" w:customStyle="1" w:styleId="book">
    <w:name w:val="book"/>
    <w:basedOn w:val="a0"/>
    <w:uiPriority w:val="99"/>
    <w:rsid w:val="00C862F1"/>
    <w:pPr>
      <w:spacing w:before="100" w:beforeAutospacing="1" w:after="100" w:afterAutospacing="1"/>
    </w:pPr>
  </w:style>
  <w:style w:type="character" w:customStyle="1" w:styleId="f">
    <w:name w:val="f"/>
    <w:basedOn w:val="a1"/>
    <w:uiPriority w:val="99"/>
    <w:rsid w:val="00C862F1"/>
    <w:rPr>
      <w:rFonts w:cs="Times New Roman"/>
    </w:rPr>
  </w:style>
  <w:style w:type="character" w:styleId="af">
    <w:name w:val="Hyperlink"/>
    <w:basedOn w:val="a1"/>
    <w:uiPriority w:val="99"/>
    <w:rsid w:val="00C862F1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C862F1"/>
    <w:pPr>
      <w:numPr>
        <w:numId w:val="2"/>
      </w:numPr>
      <w:spacing w:after="160" w:line="259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0"/>
    <w:link w:val="af1"/>
    <w:uiPriority w:val="99"/>
    <w:rsid w:val="00C862F1"/>
    <w:rPr>
      <w:rFonts w:ascii="Segoe U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1"/>
    <w:link w:val="af0"/>
    <w:uiPriority w:val="99"/>
    <w:rsid w:val="00C862F1"/>
    <w:rPr>
      <w:rFonts w:ascii="Segoe UI" w:hAnsi="Segoe UI" w:cs="Segoe UI"/>
      <w:sz w:val="18"/>
      <w:szCs w:val="18"/>
      <w:lang w:eastAsia="en-US"/>
    </w:rPr>
  </w:style>
  <w:style w:type="table" w:customStyle="1" w:styleId="10">
    <w:name w:val="Сетка таблицы1"/>
    <w:uiPriority w:val="99"/>
    <w:rsid w:val="00C8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0"/>
    <w:link w:val="af3"/>
    <w:uiPriority w:val="99"/>
    <w:rsid w:val="00C862F1"/>
    <w:pPr>
      <w:spacing w:line="360" w:lineRule="auto"/>
      <w:jc w:val="center"/>
    </w:pPr>
    <w:rPr>
      <w:sz w:val="28"/>
    </w:rPr>
  </w:style>
  <w:style w:type="character" w:customStyle="1" w:styleId="af3">
    <w:name w:val="Основной текст Знак"/>
    <w:basedOn w:val="a1"/>
    <w:link w:val="af2"/>
    <w:uiPriority w:val="99"/>
    <w:rsid w:val="00C862F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497837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497837"/>
  </w:style>
  <w:style w:type="character" w:styleId="a6">
    <w:name w:val="footnote reference"/>
    <w:aliases w:val="Знак сноски 1,Знак сноски-FN,Ciae niinee-FN,Referencia nota al pie,SUPERS,Ciae niinee 1"/>
    <w:basedOn w:val="a1"/>
    <w:uiPriority w:val="99"/>
    <w:rsid w:val="00497837"/>
    <w:rPr>
      <w:rFonts w:cs="Times New Roman"/>
      <w:vertAlign w:val="superscript"/>
    </w:rPr>
  </w:style>
  <w:style w:type="numbering" w:customStyle="1" w:styleId="1">
    <w:name w:val="Нет списка1"/>
    <w:next w:val="a3"/>
    <w:uiPriority w:val="99"/>
    <w:semiHidden/>
    <w:unhideWhenUsed/>
    <w:rsid w:val="00C862F1"/>
  </w:style>
  <w:style w:type="paragraph" w:styleId="a7">
    <w:name w:val="List Paragraph"/>
    <w:basedOn w:val="a0"/>
    <w:uiPriority w:val="99"/>
    <w:qFormat/>
    <w:rsid w:val="00C862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Strong"/>
    <w:basedOn w:val="a1"/>
    <w:uiPriority w:val="99"/>
    <w:qFormat/>
    <w:rsid w:val="00C862F1"/>
    <w:rPr>
      <w:rFonts w:cs="Times New Roman"/>
      <w:b/>
      <w:bCs/>
    </w:rPr>
  </w:style>
  <w:style w:type="table" w:styleId="a9">
    <w:name w:val="Table Grid"/>
    <w:basedOn w:val="a2"/>
    <w:uiPriority w:val="99"/>
    <w:rsid w:val="00C862F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rsid w:val="00C862F1"/>
    <w:pPr>
      <w:spacing w:before="100" w:beforeAutospacing="1" w:after="100" w:afterAutospacing="1"/>
    </w:pPr>
  </w:style>
  <w:style w:type="paragraph" w:styleId="ab">
    <w:name w:val="header"/>
    <w:basedOn w:val="a0"/>
    <w:link w:val="ac"/>
    <w:uiPriority w:val="99"/>
    <w:rsid w:val="00C862F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C862F1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rsid w:val="00C862F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C862F1"/>
    <w:rPr>
      <w:rFonts w:ascii="Calibri" w:hAnsi="Calibri"/>
      <w:sz w:val="22"/>
      <w:szCs w:val="22"/>
      <w:lang w:eastAsia="en-US"/>
    </w:rPr>
  </w:style>
  <w:style w:type="paragraph" w:customStyle="1" w:styleId="book">
    <w:name w:val="book"/>
    <w:basedOn w:val="a0"/>
    <w:uiPriority w:val="99"/>
    <w:rsid w:val="00C862F1"/>
    <w:pPr>
      <w:spacing w:before="100" w:beforeAutospacing="1" w:after="100" w:afterAutospacing="1"/>
    </w:pPr>
  </w:style>
  <w:style w:type="character" w:customStyle="1" w:styleId="f">
    <w:name w:val="f"/>
    <w:basedOn w:val="a1"/>
    <w:uiPriority w:val="99"/>
    <w:rsid w:val="00C862F1"/>
    <w:rPr>
      <w:rFonts w:cs="Times New Roman"/>
    </w:rPr>
  </w:style>
  <w:style w:type="character" w:styleId="af">
    <w:name w:val="Hyperlink"/>
    <w:basedOn w:val="a1"/>
    <w:uiPriority w:val="99"/>
    <w:rsid w:val="00C862F1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C862F1"/>
    <w:pPr>
      <w:numPr>
        <w:numId w:val="2"/>
      </w:numPr>
      <w:spacing w:after="160" w:line="259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0"/>
    <w:link w:val="af1"/>
    <w:uiPriority w:val="99"/>
    <w:rsid w:val="00C862F1"/>
    <w:rPr>
      <w:rFonts w:ascii="Segoe U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1"/>
    <w:link w:val="af0"/>
    <w:uiPriority w:val="99"/>
    <w:rsid w:val="00C862F1"/>
    <w:rPr>
      <w:rFonts w:ascii="Segoe UI" w:hAnsi="Segoe UI" w:cs="Segoe UI"/>
      <w:sz w:val="18"/>
      <w:szCs w:val="18"/>
      <w:lang w:eastAsia="en-US"/>
    </w:rPr>
  </w:style>
  <w:style w:type="table" w:customStyle="1" w:styleId="10">
    <w:name w:val="Сетка таблицы1"/>
    <w:uiPriority w:val="99"/>
    <w:rsid w:val="00C8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0"/>
    <w:link w:val="af3"/>
    <w:uiPriority w:val="99"/>
    <w:rsid w:val="00C862F1"/>
    <w:pPr>
      <w:spacing w:line="360" w:lineRule="auto"/>
      <w:jc w:val="center"/>
    </w:pPr>
    <w:rPr>
      <w:sz w:val="28"/>
    </w:rPr>
  </w:style>
  <w:style w:type="character" w:customStyle="1" w:styleId="af3">
    <w:name w:val="Основной текст Знак"/>
    <w:basedOn w:val="a1"/>
    <w:link w:val="af2"/>
    <w:uiPriority w:val="99"/>
    <w:rsid w:val="00C862F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to-inform.ru/conditions/infographic.php.&#1080;&#1085;&#1092;&#1086;&#1088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</cp:lastModifiedBy>
  <cp:revision>4</cp:revision>
  <dcterms:created xsi:type="dcterms:W3CDTF">2015-05-12T18:20:00Z</dcterms:created>
  <dcterms:modified xsi:type="dcterms:W3CDTF">2015-05-13T06:15:00Z</dcterms:modified>
</cp:coreProperties>
</file>